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32" w:rsidRDefault="00040132" w:rsidP="00040132">
      <w:pPr>
        <w:pStyle w:val="1"/>
        <w:spacing w:line="480" w:lineRule="auto"/>
        <w:jc w:val="center"/>
        <w:rPr>
          <w:rFonts w:ascii="方正黑体简体" w:eastAsia="方正黑体简体" w:hint="eastAsia"/>
          <w:b w:val="0"/>
          <w:color w:val="000000"/>
          <w:kern w:val="2"/>
          <w:sz w:val="32"/>
          <w:szCs w:val="32"/>
        </w:rPr>
      </w:pPr>
      <w:bookmarkStart w:id="0" w:name="_Toc132773283"/>
      <w:r>
        <w:rPr>
          <w:rFonts w:ascii="方正黑体简体" w:eastAsia="方正黑体简体" w:hint="eastAsia"/>
          <w:b w:val="0"/>
          <w:color w:val="000000"/>
          <w:kern w:val="2"/>
          <w:sz w:val="32"/>
          <w:szCs w:val="32"/>
        </w:rPr>
        <w:t>房地产</w:t>
      </w:r>
      <w:bookmarkEnd w:id="0"/>
      <w:r>
        <w:rPr>
          <w:rFonts w:ascii="方正黑体简体" w:eastAsia="方正黑体简体" w:hint="eastAsia"/>
          <w:b w:val="0"/>
          <w:color w:val="000000"/>
          <w:kern w:val="2"/>
          <w:sz w:val="32"/>
          <w:szCs w:val="32"/>
        </w:rPr>
        <w:t>市场价值确认书</w:t>
      </w:r>
    </w:p>
    <w:p w:rsidR="00040132" w:rsidRDefault="00040132" w:rsidP="00040132">
      <w:pPr>
        <w:adjustRightInd w:val="0"/>
        <w:spacing w:line="480" w:lineRule="auto"/>
        <w:textAlignment w:val="baseline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</w:rPr>
        <w:t>华澳国际信托有限公司</w:t>
      </w:r>
      <w:r>
        <w:rPr>
          <w:rFonts w:ascii="Arial" w:hAnsi="Arial" w:cs="Arial"/>
          <w:b/>
          <w:szCs w:val="21"/>
        </w:rPr>
        <w:t>: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受贵</w:t>
      </w:r>
      <w:r>
        <w:rPr>
          <w:rFonts w:ascii="Arial" w:hAnsi="Arial" w:cs="Arial" w:hint="eastAsia"/>
          <w:szCs w:val="21"/>
        </w:rPr>
        <w:t>公司</w:t>
      </w:r>
      <w:r>
        <w:rPr>
          <w:rFonts w:ascii="Arial" w:hAnsi="Arial" w:cs="Arial"/>
          <w:szCs w:val="21"/>
        </w:rPr>
        <w:t>委托，我公司</w:t>
      </w:r>
      <w:r>
        <w:rPr>
          <w:rFonts w:ascii="Arial" w:hAnsi="Arial" w:cs="Arial" w:hint="eastAsia"/>
          <w:szCs w:val="21"/>
        </w:rPr>
        <w:t>对</w:t>
      </w:r>
      <w:r>
        <w:rPr>
          <w:rFonts w:ascii="Arial" w:hAnsi="Arial" w:cs="Arial"/>
          <w:szCs w:val="21"/>
        </w:rPr>
        <w:t>浙江省金华市兰溪市上华街道</w:t>
      </w:r>
      <w:r>
        <w:rPr>
          <w:rFonts w:ascii="Arial" w:hAnsi="Arial" w:cs="Arial" w:hint="eastAsia"/>
          <w:szCs w:val="21"/>
        </w:rPr>
        <w:t>“</w:t>
      </w:r>
      <w:r>
        <w:rPr>
          <w:rFonts w:ascii="Arial" w:hAnsi="Arial" w:cs="Arial"/>
          <w:szCs w:val="21"/>
        </w:rPr>
        <w:t>新湖香格里拉</w:t>
      </w:r>
      <w:r>
        <w:rPr>
          <w:rFonts w:ascii="Arial" w:hAnsi="Arial" w:cs="Arial" w:hint="eastAsia"/>
          <w:szCs w:val="21"/>
        </w:rPr>
        <w:t>项目”四部分抵押物</w:t>
      </w:r>
      <w:r>
        <w:rPr>
          <w:rFonts w:ascii="Arial" w:hAnsi="Arial" w:cs="Arial"/>
          <w:szCs w:val="21"/>
        </w:rPr>
        <w:t>进行了评估，并于</w:t>
      </w:r>
      <w:r>
        <w:rPr>
          <w:rFonts w:ascii="Arial" w:hAnsi="Arial" w:cs="Arial"/>
          <w:szCs w:val="21"/>
        </w:rPr>
        <w:t>2016</w:t>
      </w:r>
      <w:r>
        <w:rPr>
          <w:rFonts w:ascii="Arial" w:hAnsi="Arial" w:cs="Arial" w:hint="eastAsia"/>
          <w:szCs w:val="21"/>
        </w:rPr>
        <w:t>年分别</w:t>
      </w:r>
      <w:r>
        <w:rPr>
          <w:rFonts w:ascii="Arial" w:hAnsi="Arial" w:cs="Arial"/>
          <w:szCs w:val="21"/>
        </w:rPr>
        <w:t>出具</w:t>
      </w:r>
      <w:r>
        <w:rPr>
          <w:rFonts w:ascii="Arial" w:hAnsi="Arial" w:cs="Arial" w:hint="eastAsia"/>
          <w:szCs w:val="21"/>
        </w:rPr>
        <w:t>《不动产估价报告书》</w:t>
      </w:r>
      <w:r>
        <w:rPr>
          <w:rFonts w:ascii="Arial" w:hAnsi="Arial" w:cs="Arial"/>
          <w:szCs w:val="21"/>
        </w:rPr>
        <w:t>，</w:t>
      </w:r>
      <w:r>
        <w:rPr>
          <w:rFonts w:ascii="Arial" w:hAnsi="Arial" w:cs="Arial" w:hint="eastAsia"/>
          <w:szCs w:val="21"/>
        </w:rPr>
        <w:t>估价结果详见下表：</w:t>
      </w:r>
    </w:p>
    <w:tbl>
      <w:tblPr>
        <w:tblW w:w="929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54"/>
        <w:gridCol w:w="2556"/>
        <w:gridCol w:w="887"/>
        <w:gridCol w:w="936"/>
        <w:gridCol w:w="1363"/>
        <w:gridCol w:w="850"/>
        <w:gridCol w:w="851"/>
        <w:gridCol w:w="841"/>
        <w:gridCol w:w="661"/>
      </w:tblGrid>
      <w:tr w:rsidR="00040132" w:rsidTr="005B1002">
        <w:trPr>
          <w:cantSplit/>
          <w:jc w:val="center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序号</w:t>
            </w:r>
          </w:p>
        </w:tc>
        <w:tc>
          <w:tcPr>
            <w:tcW w:w="2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抵押物名称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价值时点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报告出具日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报告出具编号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(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分摊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)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土地面积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(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规划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)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建筑面积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房地产抵押价值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评估楼面单价</w:t>
            </w:r>
          </w:p>
        </w:tc>
      </w:tr>
      <w:tr w:rsidR="00040132" w:rsidTr="005B1002">
        <w:trPr>
          <w:cantSplit/>
          <w:jc w:val="center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浙江省金华市兰溪市上华街道</w:t>
            </w: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衢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江路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号新湖</w:t>
            </w: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香格里拉天御苑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幢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单元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101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号等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304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套住宅用房房地产抵押价值评估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（以下简称“估价对象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”）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2016/7/8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2016/11/4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康正评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字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2016-1-A-2-101-1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13989.7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49014.94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40979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8361</w:t>
            </w:r>
          </w:p>
        </w:tc>
      </w:tr>
      <w:tr w:rsidR="00040132" w:rsidTr="005B1002">
        <w:trPr>
          <w:cantSplit/>
          <w:jc w:val="center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浙江省金华市兰溪市上华街道</w:t>
            </w: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衢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江路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5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号新湖新天地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幢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101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号等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30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套商业服务用房房地产抵押价值评估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（以下简称“估价对象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”）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2016/7/8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2016/9/2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康正评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字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2016-1-A-2-102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5047.65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8681.78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15733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18122</w:t>
            </w:r>
          </w:p>
        </w:tc>
      </w:tr>
      <w:tr w:rsidR="00040132" w:rsidTr="005B1002">
        <w:trPr>
          <w:cantSplit/>
          <w:jc w:val="center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浙江澳辰地产发展有限公司浙江省金华市兰溪市上华街道</w:t>
            </w: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衢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江路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号新湖香格里拉鸣翠苑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幢别墅用房房地产抵押价值评估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（以下简称“估价对象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3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”）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2016/7/8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2016/11/4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康正评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字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2016-1-A-2-159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269.9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460.69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888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19275</w:t>
            </w:r>
          </w:p>
        </w:tc>
      </w:tr>
      <w:tr w:rsidR="00040132" w:rsidTr="005B1002">
        <w:trPr>
          <w:cantSplit/>
          <w:jc w:val="center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浙江省金华市兰溪市上华</w:t>
            </w: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街道马公嘴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二期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2#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地块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330781003020GB00112W00000000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号宗地（新湖香格里拉大二期二标段项目）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宗住宅、商业用地出让国有建设用地使用权抵押价格评估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（以下简称“估价对象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”）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2016/12/5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2016/12/13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康正评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字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2016-1-C-2-056-1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44794.58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115000.6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16150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1404</w:t>
            </w:r>
          </w:p>
        </w:tc>
      </w:tr>
      <w:tr w:rsidR="00040132" w:rsidTr="005B1002">
        <w:trPr>
          <w:cantSplit/>
          <w:jc w:val="center"/>
        </w:trPr>
        <w:tc>
          <w:tcPr>
            <w:tcW w:w="6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64101.83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173158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73750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——</w:t>
            </w:r>
          </w:p>
        </w:tc>
      </w:tr>
    </w:tbl>
    <w:p w:rsidR="00040132" w:rsidRDefault="00040132" w:rsidP="00040132">
      <w:pPr>
        <w:widowControl/>
        <w:snapToGrid w:val="0"/>
        <w:spacing w:line="240" w:lineRule="exact"/>
        <w:jc w:val="left"/>
        <w:rPr>
          <w:rFonts w:ascii="Arial" w:eastAsia="华文细黑" w:hAnsi="Arial" w:cs="Arial" w:hint="eastAsia"/>
          <w:color w:val="000000"/>
          <w:kern w:val="0"/>
          <w:sz w:val="16"/>
          <w:szCs w:val="18"/>
        </w:rPr>
      </w:pPr>
      <w:r>
        <w:rPr>
          <w:rFonts w:ascii="Arial" w:eastAsia="华文细黑" w:hAnsi="Arial" w:cs="Arial" w:hint="eastAsia"/>
          <w:color w:val="000000"/>
          <w:kern w:val="0"/>
          <w:sz w:val="16"/>
          <w:szCs w:val="18"/>
        </w:rPr>
        <w:t>单位：平方米、万元、元</w:t>
      </w:r>
      <w:r>
        <w:rPr>
          <w:rFonts w:ascii="Arial" w:eastAsia="华文细黑" w:hAnsi="Arial" w:cs="Arial" w:hint="eastAsia"/>
          <w:color w:val="000000"/>
          <w:kern w:val="0"/>
          <w:sz w:val="16"/>
          <w:szCs w:val="18"/>
        </w:rPr>
        <w:t>/</w:t>
      </w:r>
      <w:r>
        <w:rPr>
          <w:rFonts w:ascii="Arial" w:eastAsia="华文细黑" w:hAnsi="Arial" w:cs="Arial" w:hint="eastAsia"/>
          <w:color w:val="000000"/>
          <w:kern w:val="0"/>
          <w:sz w:val="16"/>
          <w:szCs w:val="18"/>
        </w:rPr>
        <w:t>平方米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Arial" w:hAnsi="Arial" w:cs="Arial" w:hint="eastAsia"/>
          <w:szCs w:val="21"/>
        </w:rPr>
      </w:pPr>
      <w:r>
        <w:rPr>
          <w:rFonts w:ascii="Arial" w:hAnsi="Arial" w:cs="Arial"/>
          <w:szCs w:val="21"/>
        </w:rPr>
        <w:t>为了</w:t>
      </w:r>
      <w:r>
        <w:rPr>
          <w:rFonts w:ascii="Arial" w:hAnsi="Arial" w:cs="Arial" w:hint="eastAsia"/>
          <w:szCs w:val="21"/>
        </w:rPr>
        <w:t>贵公司</w:t>
      </w:r>
      <w:r>
        <w:rPr>
          <w:rFonts w:ascii="Arial" w:hAnsi="Arial" w:cs="Arial"/>
          <w:szCs w:val="21"/>
        </w:rPr>
        <w:t>更好地防范、控制信贷风险，及时掌控抵押物的</w:t>
      </w:r>
      <w:r>
        <w:rPr>
          <w:rFonts w:ascii="Arial" w:hAnsi="Arial" w:cs="Arial" w:hint="eastAsia"/>
          <w:szCs w:val="21"/>
        </w:rPr>
        <w:t>房地产</w:t>
      </w:r>
      <w:r>
        <w:rPr>
          <w:rFonts w:ascii="Arial" w:hAnsi="Arial" w:cs="Arial"/>
          <w:szCs w:val="21"/>
        </w:rPr>
        <w:t>市场价值，按照贵</w:t>
      </w:r>
      <w:r>
        <w:rPr>
          <w:rFonts w:ascii="Arial" w:hAnsi="Arial" w:cs="Arial" w:hint="eastAsia"/>
          <w:szCs w:val="21"/>
        </w:rPr>
        <w:t>公司</w:t>
      </w:r>
      <w:r>
        <w:rPr>
          <w:rFonts w:ascii="Arial" w:hAnsi="Arial" w:cs="Arial"/>
          <w:szCs w:val="21"/>
        </w:rPr>
        <w:t>要求，我公司对上述抵押物进行了复估，</w:t>
      </w:r>
      <w:r>
        <w:rPr>
          <w:rFonts w:ascii="Arial" w:hAnsi="Arial" w:cs="Arial" w:hint="eastAsia"/>
          <w:szCs w:val="21"/>
        </w:rPr>
        <w:t>价值时点为</w:t>
      </w:r>
      <w:r>
        <w:rPr>
          <w:rFonts w:ascii="Arial" w:hAnsi="Arial" w:cs="Arial" w:hint="eastAsia"/>
          <w:szCs w:val="21"/>
        </w:rPr>
        <w:t>2021</w:t>
      </w:r>
      <w:r>
        <w:rPr>
          <w:rFonts w:ascii="Arial" w:hAnsi="Arial" w:cs="Arial" w:hint="eastAsia"/>
          <w:szCs w:val="21"/>
        </w:rPr>
        <w:t>年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月</w:t>
      </w:r>
      <w:r>
        <w:rPr>
          <w:rFonts w:ascii="Arial" w:hAnsi="Arial" w:cs="Arial" w:hint="eastAsia"/>
          <w:szCs w:val="21"/>
        </w:rPr>
        <w:t>25</w:t>
      </w:r>
      <w:r>
        <w:rPr>
          <w:rFonts w:ascii="Arial" w:hAnsi="Arial" w:cs="Arial" w:hint="eastAsia"/>
          <w:szCs w:val="21"/>
        </w:rPr>
        <w:t>日。</w:t>
      </w:r>
      <w:r>
        <w:rPr>
          <w:rFonts w:ascii="Arial" w:hAnsi="Arial" w:cs="Arial"/>
          <w:szCs w:val="21"/>
        </w:rPr>
        <w:t>经与</w:t>
      </w:r>
      <w:r>
        <w:rPr>
          <w:rFonts w:ascii="Arial" w:hAnsi="Arial" w:cs="Arial" w:hint="eastAsia"/>
          <w:szCs w:val="21"/>
        </w:rPr>
        <w:t>浙江澳辰地产发展有限公司（不动产权利人）及估价委托人</w:t>
      </w:r>
      <w:r>
        <w:rPr>
          <w:rFonts w:ascii="Arial" w:hAnsi="Arial" w:cs="Arial"/>
          <w:szCs w:val="21"/>
        </w:rPr>
        <w:t>确认，估价对象</w:t>
      </w:r>
      <w:r>
        <w:rPr>
          <w:rFonts w:ascii="Arial" w:hAnsi="Arial" w:cs="Arial" w:hint="eastAsia"/>
          <w:szCs w:val="21"/>
        </w:rPr>
        <w:t>于本次价值时点（估价期日）下的估价范围为（对应上表中所列估价对象）：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szCs w:val="21"/>
        </w:rPr>
        <w:t>1.</w:t>
      </w:r>
      <w:r>
        <w:rPr>
          <w:rFonts w:ascii="Arial" w:hAnsi="Arial" w:cs="Arial" w:hint="eastAsia"/>
          <w:szCs w:val="21"/>
        </w:rPr>
        <w:t>估价对象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“新湖香格里拉天御苑”</w:t>
      </w:r>
      <w:r>
        <w:rPr>
          <w:rFonts w:ascii="Arial" w:hAnsi="Arial" w:cs="Arial" w:hint="eastAsia"/>
          <w:szCs w:val="21"/>
        </w:rPr>
        <w:t>304</w:t>
      </w:r>
      <w:r>
        <w:rPr>
          <w:rFonts w:ascii="Arial" w:hAnsi="Arial" w:cs="Arial" w:hint="eastAsia"/>
          <w:szCs w:val="21"/>
        </w:rPr>
        <w:t>套住宅用房抵押物范围有变化，</w:t>
      </w:r>
      <w:proofErr w:type="gramStart"/>
      <w:r>
        <w:rPr>
          <w:rFonts w:ascii="Arial" w:hAnsi="Arial" w:cs="Arial" w:hint="eastAsia"/>
          <w:szCs w:val="21"/>
        </w:rPr>
        <w:t>本次复估抵押物</w:t>
      </w:r>
      <w:proofErr w:type="gramEnd"/>
      <w:r>
        <w:rPr>
          <w:rFonts w:ascii="Arial" w:hAnsi="Arial" w:cs="Arial" w:hint="eastAsia"/>
          <w:szCs w:val="21"/>
        </w:rPr>
        <w:t>新湖</w:t>
      </w:r>
      <w:proofErr w:type="gramStart"/>
      <w:r>
        <w:rPr>
          <w:rFonts w:ascii="Arial" w:hAnsi="Arial" w:cs="Arial" w:hint="eastAsia"/>
          <w:szCs w:val="21"/>
        </w:rPr>
        <w:t>香格里拉天御苑住宅</w:t>
      </w:r>
      <w:proofErr w:type="gramEnd"/>
      <w:r>
        <w:rPr>
          <w:rFonts w:ascii="Arial" w:hAnsi="Arial" w:cs="Arial" w:hint="eastAsia"/>
          <w:szCs w:val="21"/>
        </w:rPr>
        <w:t>用房为原抵押范围内共计</w:t>
      </w:r>
      <w:r>
        <w:rPr>
          <w:rFonts w:ascii="Arial" w:hAnsi="Arial" w:cs="Arial" w:hint="eastAsia"/>
          <w:szCs w:val="21"/>
        </w:rPr>
        <w:t>39</w:t>
      </w:r>
      <w:r>
        <w:rPr>
          <w:rFonts w:ascii="Arial" w:hAnsi="Arial" w:cs="Arial" w:hint="eastAsia"/>
          <w:szCs w:val="21"/>
        </w:rPr>
        <w:t>套住宅用房，建筑面积为</w:t>
      </w:r>
      <w:r>
        <w:rPr>
          <w:rFonts w:ascii="Arial" w:hAnsi="Arial" w:cs="Arial" w:hint="eastAsia"/>
          <w:szCs w:val="21"/>
        </w:rPr>
        <w:t>6306.27</w:t>
      </w:r>
      <w:r>
        <w:rPr>
          <w:rFonts w:ascii="Arial" w:hAnsi="Arial" w:cs="Arial" w:hint="eastAsia"/>
          <w:szCs w:val="21"/>
        </w:rPr>
        <w:t>平方米（详见附件）；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szCs w:val="21"/>
        </w:rPr>
        <w:lastRenderedPageBreak/>
        <w:t>2.</w:t>
      </w:r>
      <w:r>
        <w:rPr>
          <w:rFonts w:ascii="Arial" w:hAnsi="Arial" w:cs="Arial" w:hint="eastAsia"/>
          <w:szCs w:val="21"/>
        </w:rPr>
        <w:t>估价对象</w:t>
      </w:r>
      <w:r>
        <w:rPr>
          <w:rFonts w:ascii="Arial" w:hAnsi="Arial" w:cs="Arial" w:hint="eastAsia"/>
          <w:szCs w:val="21"/>
        </w:rPr>
        <w:t>2</w:t>
      </w:r>
      <w:r>
        <w:rPr>
          <w:rFonts w:ascii="Arial" w:hAnsi="Arial" w:cs="Arial" w:hint="eastAsia"/>
          <w:szCs w:val="21"/>
        </w:rPr>
        <w:t>“</w:t>
      </w:r>
      <w:proofErr w:type="gramStart"/>
      <w:r>
        <w:rPr>
          <w:rFonts w:ascii="Arial" w:hAnsi="Arial" w:cs="Arial" w:hint="eastAsia"/>
          <w:szCs w:val="21"/>
        </w:rPr>
        <w:t>衢</w:t>
      </w:r>
      <w:proofErr w:type="gramEnd"/>
      <w:r>
        <w:rPr>
          <w:rFonts w:ascii="Arial" w:hAnsi="Arial" w:cs="Arial" w:hint="eastAsia"/>
          <w:szCs w:val="21"/>
        </w:rPr>
        <w:t>江路</w:t>
      </w:r>
      <w:r>
        <w:rPr>
          <w:rFonts w:ascii="Arial" w:hAnsi="Arial" w:cs="Arial" w:hint="eastAsia"/>
          <w:szCs w:val="21"/>
        </w:rPr>
        <w:t>5</w:t>
      </w:r>
      <w:r>
        <w:rPr>
          <w:rFonts w:ascii="Arial" w:hAnsi="Arial" w:cs="Arial" w:hint="eastAsia"/>
          <w:szCs w:val="21"/>
        </w:rPr>
        <w:t>号新湖新天地”</w:t>
      </w:r>
      <w:r>
        <w:rPr>
          <w:rFonts w:ascii="Arial" w:hAnsi="Arial" w:cs="Arial" w:hint="eastAsia"/>
          <w:szCs w:val="21"/>
        </w:rPr>
        <w:t>30</w:t>
      </w:r>
      <w:r>
        <w:rPr>
          <w:rFonts w:ascii="Arial" w:hAnsi="Arial" w:cs="Arial" w:hint="eastAsia"/>
          <w:szCs w:val="21"/>
        </w:rPr>
        <w:t>套商业服务用房抵押物范围有变化，本次</w:t>
      </w:r>
      <w:proofErr w:type="gramStart"/>
      <w:r>
        <w:rPr>
          <w:rFonts w:ascii="Arial" w:hAnsi="Arial" w:cs="Arial" w:hint="eastAsia"/>
          <w:szCs w:val="21"/>
        </w:rPr>
        <w:t>复估抵押物衢</w:t>
      </w:r>
      <w:proofErr w:type="gramEnd"/>
      <w:r>
        <w:rPr>
          <w:rFonts w:ascii="Arial" w:hAnsi="Arial" w:cs="Arial" w:hint="eastAsia"/>
          <w:szCs w:val="21"/>
        </w:rPr>
        <w:t>江路</w:t>
      </w:r>
      <w:r>
        <w:rPr>
          <w:rFonts w:ascii="Arial" w:hAnsi="Arial" w:cs="Arial" w:hint="eastAsia"/>
          <w:szCs w:val="21"/>
        </w:rPr>
        <w:t>5</w:t>
      </w:r>
      <w:r>
        <w:rPr>
          <w:rFonts w:ascii="Arial" w:hAnsi="Arial" w:cs="Arial" w:hint="eastAsia"/>
          <w:szCs w:val="21"/>
        </w:rPr>
        <w:t>号新湖新天地商业服务用房为原抵押物范围内共计</w:t>
      </w:r>
      <w:r>
        <w:rPr>
          <w:rFonts w:ascii="Arial" w:hAnsi="Arial" w:cs="Arial" w:hint="eastAsia"/>
          <w:szCs w:val="21"/>
        </w:rPr>
        <w:t>26</w:t>
      </w:r>
      <w:r>
        <w:rPr>
          <w:rFonts w:ascii="Arial" w:hAnsi="Arial" w:cs="Arial" w:hint="eastAsia"/>
          <w:szCs w:val="21"/>
        </w:rPr>
        <w:t>套商业服务用房，建筑面积为</w:t>
      </w:r>
      <w:r>
        <w:rPr>
          <w:rFonts w:ascii="Arial" w:hAnsi="Arial" w:cs="Arial" w:hint="eastAsia"/>
          <w:szCs w:val="21"/>
        </w:rPr>
        <w:t>8041.99</w:t>
      </w:r>
      <w:r>
        <w:rPr>
          <w:rFonts w:ascii="Arial" w:hAnsi="Arial" w:cs="Arial" w:hint="eastAsia"/>
          <w:szCs w:val="21"/>
        </w:rPr>
        <w:t>平方米（详见附件）；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szCs w:val="21"/>
        </w:rPr>
        <w:t>3.</w:t>
      </w:r>
      <w:r>
        <w:rPr>
          <w:rFonts w:ascii="Arial" w:hAnsi="Arial" w:cs="Arial" w:hint="eastAsia"/>
          <w:szCs w:val="21"/>
        </w:rPr>
        <w:t>估价对象</w:t>
      </w: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 w:hint="eastAsia"/>
          <w:szCs w:val="21"/>
        </w:rPr>
        <w:t>估价范围、建筑面积、分摊土地面积等信息均未产生变化；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华文细黑" w:eastAsia="华文细黑" w:hAnsi="华文细黑" w:cs="Arial"/>
          <w:szCs w:val="21"/>
        </w:rPr>
      </w:pPr>
      <w:r>
        <w:rPr>
          <w:rFonts w:ascii="Arial" w:hAnsi="Arial" w:cs="Arial" w:hint="eastAsia"/>
          <w:szCs w:val="21"/>
        </w:rPr>
        <w:t>4.</w:t>
      </w:r>
      <w:r>
        <w:rPr>
          <w:rFonts w:ascii="Arial" w:hAnsi="Arial" w:cs="Arial" w:hint="eastAsia"/>
          <w:szCs w:val="21"/>
        </w:rPr>
        <w:t>估价对象</w:t>
      </w:r>
      <w:r>
        <w:rPr>
          <w:rFonts w:ascii="Arial" w:hAnsi="Arial" w:cs="Arial" w:hint="eastAsia"/>
          <w:szCs w:val="21"/>
        </w:rPr>
        <w:t>4</w:t>
      </w:r>
      <w:r>
        <w:rPr>
          <w:rFonts w:ascii="Arial" w:hAnsi="Arial" w:cs="Arial" w:hint="eastAsia"/>
          <w:szCs w:val="21"/>
        </w:rPr>
        <w:t>不在本次</w:t>
      </w:r>
      <w:proofErr w:type="gramStart"/>
      <w:r>
        <w:rPr>
          <w:rFonts w:ascii="Arial" w:hAnsi="Arial" w:cs="Arial" w:hint="eastAsia"/>
          <w:szCs w:val="21"/>
        </w:rPr>
        <w:t>复估范围</w:t>
      </w:r>
      <w:proofErr w:type="gramEnd"/>
      <w:r>
        <w:rPr>
          <w:rFonts w:ascii="Arial" w:hAnsi="Arial" w:cs="Arial" w:hint="eastAsia"/>
          <w:szCs w:val="21"/>
        </w:rPr>
        <w:t>内。</w:t>
      </w:r>
    </w:p>
    <w:p w:rsidR="00040132" w:rsidRDefault="00040132" w:rsidP="00040132">
      <w:pPr>
        <w:spacing w:line="480" w:lineRule="auto"/>
        <w:ind w:right="310" w:firstLineChars="200" w:firstLine="422"/>
        <w:rPr>
          <w:rFonts w:ascii="Arial" w:hAnsi="Arial" w:cs="Arial" w:hint="eastAsia"/>
          <w:b/>
          <w:szCs w:val="21"/>
        </w:rPr>
      </w:pPr>
      <w:proofErr w:type="gramStart"/>
      <w:r>
        <w:rPr>
          <w:rFonts w:ascii="Arial" w:hAnsi="Arial" w:cs="Arial" w:hint="eastAsia"/>
          <w:b/>
          <w:szCs w:val="21"/>
        </w:rPr>
        <w:t>本次复估结果</w:t>
      </w:r>
      <w:proofErr w:type="gramEnd"/>
      <w:r>
        <w:rPr>
          <w:rFonts w:ascii="Arial" w:hAnsi="Arial" w:cs="Arial" w:hint="eastAsia"/>
          <w:b/>
          <w:szCs w:val="21"/>
        </w:rPr>
        <w:t>：</w:t>
      </w:r>
    </w:p>
    <w:p w:rsidR="00040132" w:rsidRDefault="00040132" w:rsidP="00040132">
      <w:pPr>
        <w:spacing w:line="480" w:lineRule="auto"/>
        <w:ind w:right="310" w:firstLineChars="200" w:firstLine="422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</w:rPr>
        <w:t>估价对象</w:t>
      </w:r>
      <w:r>
        <w:rPr>
          <w:rFonts w:ascii="Arial" w:hAnsi="Arial" w:cs="Arial" w:hint="eastAsia"/>
          <w:b/>
          <w:szCs w:val="21"/>
        </w:rPr>
        <w:t>1</w:t>
      </w:r>
      <w:r>
        <w:rPr>
          <w:rFonts w:ascii="Arial" w:hAnsi="Arial" w:cs="Arial" w:hint="eastAsia"/>
          <w:b/>
          <w:szCs w:val="21"/>
        </w:rPr>
        <w:t>“新湖香格里拉天御苑”</w:t>
      </w:r>
      <w:r>
        <w:rPr>
          <w:rFonts w:ascii="Arial" w:hAnsi="Arial" w:cs="Arial" w:hint="eastAsia"/>
          <w:szCs w:val="21"/>
        </w:rPr>
        <w:t>39</w:t>
      </w:r>
      <w:r>
        <w:rPr>
          <w:rFonts w:ascii="Arial" w:hAnsi="Arial" w:cs="Arial" w:hint="eastAsia"/>
          <w:b/>
          <w:szCs w:val="21"/>
        </w:rPr>
        <w:t>套住宅用房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根据评估专业人员对该区域房地产市场的分析，</w:t>
      </w:r>
      <w:r>
        <w:rPr>
          <w:rFonts w:ascii="Arial" w:hAnsi="Arial" w:cs="Arial" w:hint="eastAsia"/>
          <w:szCs w:val="21"/>
        </w:rPr>
        <w:t>对比</w:t>
      </w:r>
      <w:proofErr w:type="gramStart"/>
      <w:r>
        <w:rPr>
          <w:rFonts w:ascii="Arial" w:hAnsi="Arial" w:cs="Arial" w:hint="eastAsia"/>
          <w:szCs w:val="21"/>
        </w:rPr>
        <w:t>两价值</w:t>
      </w:r>
      <w:proofErr w:type="gramEnd"/>
      <w:r>
        <w:rPr>
          <w:rFonts w:ascii="Arial" w:hAnsi="Arial" w:cs="Arial" w:hint="eastAsia"/>
          <w:szCs w:val="21"/>
        </w:rPr>
        <w:t>时点（</w:t>
      </w:r>
      <w:r>
        <w:rPr>
          <w:rFonts w:ascii="Arial" w:hAnsi="Arial" w:cs="Arial" w:hint="eastAsia"/>
          <w:szCs w:val="21"/>
        </w:rPr>
        <w:t>2016</w:t>
      </w:r>
      <w:r>
        <w:rPr>
          <w:rFonts w:ascii="Arial" w:hAnsi="Arial" w:cs="Arial" w:hint="eastAsia"/>
          <w:szCs w:val="21"/>
        </w:rPr>
        <w:t>年</w:t>
      </w:r>
      <w:r>
        <w:rPr>
          <w:rFonts w:ascii="Arial" w:hAnsi="Arial" w:cs="Arial" w:hint="eastAsia"/>
          <w:szCs w:val="21"/>
        </w:rPr>
        <w:t>7</w:t>
      </w:r>
      <w:r>
        <w:rPr>
          <w:rFonts w:ascii="Arial" w:hAnsi="Arial" w:cs="Arial" w:hint="eastAsia"/>
          <w:szCs w:val="21"/>
        </w:rPr>
        <w:t>月与</w:t>
      </w:r>
      <w:r>
        <w:rPr>
          <w:rFonts w:ascii="Arial" w:hAnsi="Arial" w:cs="Arial" w:hint="eastAsia"/>
          <w:szCs w:val="21"/>
        </w:rPr>
        <w:t>2021</w:t>
      </w:r>
      <w:r>
        <w:rPr>
          <w:rFonts w:ascii="Arial" w:hAnsi="Arial" w:cs="Arial" w:hint="eastAsia"/>
          <w:szCs w:val="21"/>
        </w:rPr>
        <w:t>年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月），估价对象周边住宅用房房地产市场成交、房屋租赁情况等，</w:t>
      </w:r>
      <w:r>
        <w:rPr>
          <w:rFonts w:ascii="Arial" w:hAnsi="Arial" w:cs="Arial"/>
          <w:szCs w:val="21"/>
        </w:rPr>
        <w:t>我们认为</w:t>
      </w:r>
      <w:r>
        <w:rPr>
          <w:rFonts w:ascii="Arial" w:hAnsi="Arial" w:cs="Arial" w:hint="eastAsia"/>
          <w:szCs w:val="21"/>
        </w:rPr>
        <w:t>本次价值时点</w:t>
      </w:r>
      <w:r>
        <w:rPr>
          <w:rFonts w:ascii="Arial" w:hAnsi="Arial" w:cs="Arial"/>
          <w:szCs w:val="21"/>
        </w:rPr>
        <w:t>估价对象</w:t>
      </w:r>
      <w:r>
        <w:rPr>
          <w:rFonts w:ascii="Arial" w:hAnsi="Arial" w:cs="Arial" w:hint="eastAsia"/>
          <w:szCs w:val="21"/>
        </w:rPr>
        <w:t>浙江省金华市兰溪市上华街道</w:t>
      </w:r>
      <w:proofErr w:type="gramStart"/>
      <w:r>
        <w:rPr>
          <w:rFonts w:ascii="Arial" w:hAnsi="Arial" w:cs="Arial" w:hint="eastAsia"/>
          <w:szCs w:val="21"/>
        </w:rPr>
        <w:t>衢</w:t>
      </w:r>
      <w:proofErr w:type="gramEnd"/>
      <w:r>
        <w:rPr>
          <w:rFonts w:ascii="Arial" w:hAnsi="Arial" w:cs="Arial" w:hint="eastAsia"/>
          <w:szCs w:val="21"/>
        </w:rPr>
        <w:t>江路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号新湖</w:t>
      </w:r>
      <w:proofErr w:type="gramStart"/>
      <w:r>
        <w:rPr>
          <w:rFonts w:ascii="Arial" w:hAnsi="Arial" w:cs="Arial" w:hint="eastAsia"/>
          <w:szCs w:val="21"/>
        </w:rPr>
        <w:t>香格里拉天御苑住宅</w:t>
      </w:r>
      <w:proofErr w:type="gramEnd"/>
      <w:r>
        <w:rPr>
          <w:rFonts w:ascii="Arial" w:hAnsi="Arial" w:cs="Arial" w:hint="eastAsia"/>
          <w:szCs w:val="21"/>
        </w:rPr>
        <w:t>用房房地产单价水平与原价值时点单价水平相比，有一定上涨幅度。本次评估估价对象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估价范围内的房地产在</w:t>
      </w:r>
      <w:r>
        <w:rPr>
          <w:rFonts w:ascii="Arial" w:hAnsi="Arial" w:cs="Arial"/>
        </w:rPr>
        <w:t>20</w:t>
      </w:r>
      <w:r>
        <w:rPr>
          <w:rFonts w:ascii="Arial" w:hAnsi="Arial" w:cs="Arial" w:hint="eastAsia"/>
        </w:rPr>
        <w:t>21</w:t>
      </w:r>
      <w:r>
        <w:rPr>
          <w:rFonts w:ascii="Arial" w:hAnsi="Arial" w:cs="Arial"/>
        </w:rPr>
        <w:t>年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25</w:t>
      </w:r>
      <w:r>
        <w:rPr>
          <w:rFonts w:ascii="Arial" w:hAnsi="Arial" w:cs="Arial"/>
        </w:rPr>
        <w:t>日</w:t>
      </w:r>
      <w:r>
        <w:rPr>
          <w:rFonts w:ascii="Arial" w:hAnsi="Arial" w:cs="Arial"/>
          <w:szCs w:val="28"/>
        </w:rPr>
        <w:t>可能形成的房地产市场价值</w:t>
      </w:r>
      <w:r>
        <w:rPr>
          <w:rFonts w:ascii="Arial" w:hAnsi="Arial" w:cs="Arial" w:hint="eastAsia"/>
          <w:szCs w:val="28"/>
        </w:rPr>
        <w:t>高于</w:t>
      </w:r>
      <w:r>
        <w:rPr>
          <w:rFonts w:ascii="Arial" w:hAnsi="Arial" w:cs="Arial" w:hint="eastAsia"/>
          <w:szCs w:val="28"/>
        </w:rPr>
        <w:t>2016</w:t>
      </w:r>
      <w:r>
        <w:rPr>
          <w:rFonts w:ascii="Arial" w:hAnsi="Arial" w:cs="Arial" w:hint="eastAsia"/>
          <w:szCs w:val="28"/>
        </w:rPr>
        <w:t>年时点</w:t>
      </w:r>
      <w:proofErr w:type="gramStart"/>
      <w:r>
        <w:rPr>
          <w:rFonts w:ascii="Arial" w:hAnsi="Arial" w:cs="Arial" w:hint="eastAsia"/>
          <w:szCs w:val="28"/>
        </w:rPr>
        <w:t>同范围</w:t>
      </w:r>
      <w:proofErr w:type="gramEnd"/>
      <w:r>
        <w:rPr>
          <w:rFonts w:ascii="Arial" w:hAnsi="Arial" w:cs="Arial" w:hint="eastAsia"/>
          <w:szCs w:val="28"/>
        </w:rPr>
        <w:t>估价对象房地产抵押价值</w:t>
      </w:r>
      <w:r>
        <w:rPr>
          <w:rFonts w:ascii="Arial" w:hAnsi="Arial" w:cs="Arial"/>
          <w:szCs w:val="21"/>
        </w:rPr>
        <w:t>。</w:t>
      </w:r>
    </w:p>
    <w:p w:rsidR="00040132" w:rsidRDefault="00040132" w:rsidP="00040132">
      <w:pPr>
        <w:spacing w:line="480" w:lineRule="auto"/>
        <w:ind w:right="310" w:firstLineChars="200" w:firstLine="422"/>
        <w:rPr>
          <w:rFonts w:ascii="Arial" w:hAnsi="Arial" w:cs="Arial" w:hint="eastAsia"/>
          <w:b/>
          <w:szCs w:val="21"/>
        </w:rPr>
      </w:pPr>
      <w:r>
        <w:rPr>
          <w:rFonts w:ascii="Arial" w:hAnsi="Arial" w:hint="eastAsia"/>
          <w:b/>
          <w:szCs w:val="28"/>
        </w:rPr>
        <w:t>估价对象</w:t>
      </w:r>
      <w:r>
        <w:rPr>
          <w:rFonts w:ascii="Arial" w:hAnsi="Arial" w:hint="eastAsia"/>
          <w:b/>
          <w:szCs w:val="28"/>
        </w:rPr>
        <w:t>2</w:t>
      </w:r>
      <w:r>
        <w:rPr>
          <w:rFonts w:ascii="Arial" w:hAnsi="Arial" w:cs="Arial" w:hint="eastAsia"/>
          <w:b/>
          <w:szCs w:val="21"/>
        </w:rPr>
        <w:t>“新湖香格里拉”</w:t>
      </w:r>
      <w:r>
        <w:rPr>
          <w:rFonts w:ascii="Arial" w:hAnsi="Arial" w:cs="Arial"/>
          <w:szCs w:val="21"/>
        </w:rPr>
        <w:t>26</w:t>
      </w:r>
      <w:r>
        <w:rPr>
          <w:rFonts w:ascii="Arial" w:hAnsi="Arial" w:cs="Arial"/>
          <w:b/>
          <w:szCs w:val="21"/>
        </w:rPr>
        <w:t>套商</w:t>
      </w:r>
      <w:r>
        <w:rPr>
          <w:rFonts w:ascii="Arial" w:hAnsi="Arial" w:cs="Arial" w:hint="eastAsia"/>
          <w:b/>
          <w:szCs w:val="21"/>
        </w:rPr>
        <w:t>业用房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Arial" w:hAnsi="Arial" w:hint="eastAsia"/>
          <w:b/>
          <w:szCs w:val="28"/>
        </w:rPr>
      </w:pPr>
      <w:r>
        <w:rPr>
          <w:rFonts w:ascii="Arial" w:hAnsi="Arial" w:cs="Arial"/>
          <w:szCs w:val="21"/>
        </w:rPr>
        <w:t>根据评估专业人员对该区域房地产市场的分析，</w:t>
      </w:r>
      <w:r>
        <w:rPr>
          <w:rFonts w:ascii="Arial" w:hAnsi="Arial" w:cs="Arial" w:hint="eastAsia"/>
          <w:szCs w:val="21"/>
        </w:rPr>
        <w:t>对比</w:t>
      </w:r>
      <w:proofErr w:type="gramStart"/>
      <w:r>
        <w:rPr>
          <w:rFonts w:ascii="Arial" w:hAnsi="Arial" w:cs="Arial" w:hint="eastAsia"/>
          <w:szCs w:val="21"/>
        </w:rPr>
        <w:t>两价值</w:t>
      </w:r>
      <w:proofErr w:type="gramEnd"/>
      <w:r>
        <w:rPr>
          <w:rFonts w:ascii="Arial" w:hAnsi="Arial" w:cs="Arial" w:hint="eastAsia"/>
          <w:szCs w:val="21"/>
        </w:rPr>
        <w:t>时点（</w:t>
      </w:r>
      <w:r>
        <w:rPr>
          <w:rFonts w:ascii="Arial" w:hAnsi="Arial" w:cs="Arial" w:hint="eastAsia"/>
          <w:szCs w:val="21"/>
        </w:rPr>
        <w:t>2016</w:t>
      </w:r>
      <w:r>
        <w:rPr>
          <w:rFonts w:ascii="Arial" w:hAnsi="Arial" w:cs="Arial" w:hint="eastAsia"/>
          <w:szCs w:val="21"/>
        </w:rPr>
        <w:t>年</w:t>
      </w:r>
      <w:r>
        <w:rPr>
          <w:rFonts w:ascii="Arial" w:hAnsi="Arial" w:cs="Arial" w:hint="eastAsia"/>
          <w:szCs w:val="21"/>
        </w:rPr>
        <w:t>7</w:t>
      </w:r>
      <w:r>
        <w:rPr>
          <w:rFonts w:ascii="Arial" w:hAnsi="Arial" w:cs="Arial" w:hint="eastAsia"/>
          <w:szCs w:val="21"/>
        </w:rPr>
        <w:t>月与</w:t>
      </w:r>
      <w:r>
        <w:rPr>
          <w:rFonts w:ascii="Arial" w:hAnsi="Arial" w:cs="Arial" w:hint="eastAsia"/>
          <w:szCs w:val="21"/>
        </w:rPr>
        <w:t>2021</w:t>
      </w:r>
      <w:r>
        <w:rPr>
          <w:rFonts w:ascii="Arial" w:hAnsi="Arial" w:cs="Arial" w:hint="eastAsia"/>
          <w:szCs w:val="21"/>
        </w:rPr>
        <w:t>年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月），估价对象周边商业用房房地产市场成交、房屋租赁情况等，</w:t>
      </w:r>
      <w:r>
        <w:rPr>
          <w:rFonts w:ascii="Arial" w:hAnsi="Arial" w:cs="Arial"/>
          <w:szCs w:val="21"/>
        </w:rPr>
        <w:t>我们认为</w:t>
      </w:r>
      <w:r>
        <w:rPr>
          <w:rFonts w:ascii="Arial" w:hAnsi="Arial" w:cs="Arial" w:hint="eastAsia"/>
          <w:szCs w:val="21"/>
        </w:rPr>
        <w:t>本次价值时点</w:t>
      </w:r>
      <w:r>
        <w:rPr>
          <w:rFonts w:ascii="Arial" w:hAnsi="Arial" w:cs="Arial"/>
          <w:szCs w:val="21"/>
        </w:rPr>
        <w:t>估价对象</w:t>
      </w:r>
      <w:r>
        <w:rPr>
          <w:rFonts w:ascii="Arial" w:hAnsi="Arial" w:cs="Arial" w:hint="eastAsia"/>
          <w:szCs w:val="21"/>
        </w:rPr>
        <w:t>浙江省金华市兰溪市上华街道</w:t>
      </w:r>
      <w:proofErr w:type="gramStart"/>
      <w:r>
        <w:rPr>
          <w:rFonts w:ascii="Arial" w:hAnsi="Arial" w:cs="Arial" w:hint="eastAsia"/>
          <w:szCs w:val="21"/>
        </w:rPr>
        <w:t>衢</w:t>
      </w:r>
      <w:proofErr w:type="gramEnd"/>
      <w:r>
        <w:rPr>
          <w:rFonts w:ascii="Arial" w:hAnsi="Arial" w:cs="Arial" w:hint="eastAsia"/>
          <w:szCs w:val="21"/>
        </w:rPr>
        <w:t>江路</w:t>
      </w:r>
      <w:r>
        <w:rPr>
          <w:rFonts w:ascii="Arial" w:hAnsi="Arial" w:cs="Arial" w:hint="eastAsia"/>
          <w:szCs w:val="21"/>
        </w:rPr>
        <w:t>5</w:t>
      </w:r>
      <w:r>
        <w:rPr>
          <w:rFonts w:ascii="Arial" w:hAnsi="Arial" w:cs="Arial" w:hint="eastAsia"/>
          <w:szCs w:val="21"/>
        </w:rPr>
        <w:t>号新湖新天地商业用房房地产单价水平与原价值时点单价水平相比，有小幅下降。本次评估估价对象</w:t>
      </w:r>
      <w:r>
        <w:rPr>
          <w:rFonts w:ascii="Arial" w:hAnsi="Arial" w:cs="Arial" w:hint="eastAsia"/>
          <w:szCs w:val="21"/>
        </w:rPr>
        <w:t>2</w:t>
      </w:r>
      <w:r>
        <w:rPr>
          <w:rFonts w:ascii="Arial" w:hAnsi="Arial" w:cs="Arial" w:hint="eastAsia"/>
          <w:szCs w:val="21"/>
        </w:rPr>
        <w:t>估价范围内的房地产在</w:t>
      </w:r>
      <w:r>
        <w:rPr>
          <w:rFonts w:ascii="Arial" w:hAnsi="Arial" w:cs="Arial"/>
        </w:rPr>
        <w:t>20</w:t>
      </w:r>
      <w:r>
        <w:rPr>
          <w:rFonts w:ascii="Arial" w:hAnsi="Arial" w:cs="Arial" w:hint="eastAsia"/>
        </w:rPr>
        <w:t>21</w:t>
      </w:r>
      <w:r>
        <w:rPr>
          <w:rFonts w:ascii="Arial" w:hAnsi="Arial" w:cs="Arial"/>
        </w:rPr>
        <w:t>年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25</w:t>
      </w:r>
      <w:r>
        <w:rPr>
          <w:rFonts w:ascii="Arial" w:hAnsi="Arial" w:cs="Arial"/>
        </w:rPr>
        <w:t>日</w:t>
      </w:r>
      <w:r>
        <w:rPr>
          <w:rFonts w:ascii="Arial" w:hAnsi="Arial" w:cs="Arial"/>
          <w:szCs w:val="28"/>
        </w:rPr>
        <w:t>可能形成的房地产市场价值</w:t>
      </w:r>
      <w:r>
        <w:rPr>
          <w:rFonts w:ascii="Arial" w:hAnsi="Arial" w:cs="Arial" w:hint="eastAsia"/>
          <w:szCs w:val="28"/>
        </w:rPr>
        <w:t>略低于</w:t>
      </w:r>
      <w:r>
        <w:rPr>
          <w:rFonts w:ascii="Arial" w:hAnsi="Arial" w:cs="Arial" w:hint="eastAsia"/>
          <w:szCs w:val="28"/>
        </w:rPr>
        <w:t>2016</w:t>
      </w:r>
      <w:r>
        <w:rPr>
          <w:rFonts w:ascii="Arial" w:hAnsi="Arial" w:cs="Arial" w:hint="eastAsia"/>
          <w:szCs w:val="28"/>
        </w:rPr>
        <w:t>年时点</w:t>
      </w:r>
      <w:proofErr w:type="gramStart"/>
      <w:r>
        <w:rPr>
          <w:rFonts w:ascii="Arial" w:hAnsi="Arial" w:cs="Arial" w:hint="eastAsia"/>
          <w:szCs w:val="28"/>
        </w:rPr>
        <w:t>同范围</w:t>
      </w:r>
      <w:proofErr w:type="gramEnd"/>
      <w:r>
        <w:rPr>
          <w:rFonts w:ascii="Arial" w:hAnsi="Arial" w:cs="Arial" w:hint="eastAsia"/>
          <w:szCs w:val="28"/>
        </w:rPr>
        <w:t>估价对象房地产抵押价值</w:t>
      </w:r>
      <w:r>
        <w:rPr>
          <w:rFonts w:ascii="Arial" w:hAnsi="Arial" w:cs="Arial"/>
          <w:szCs w:val="21"/>
        </w:rPr>
        <w:t>。</w:t>
      </w:r>
    </w:p>
    <w:p w:rsidR="00040132" w:rsidRDefault="00040132" w:rsidP="00040132">
      <w:pPr>
        <w:spacing w:line="480" w:lineRule="auto"/>
        <w:ind w:right="310" w:firstLineChars="200" w:firstLine="422"/>
        <w:rPr>
          <w:rFonts w:ascii="Arial" w:hAnsi="Arial"/>
          <w:b/>
          <w:szCs w:val="28"/>
        </w:rPr>
      </w:pPr>
      <w:r>
        <w:rPr>
          <w:rFonts w:ascii="Arial" w:hAnsi="Arial" w:hint="eastAsia"/>
          <w:b/>
          <w:szCs w:val="28"/>
        </w:rPr>
        <w:t>估价对象</w:t>
      </w:r>
      <w:r>
        <w:rPr>
          <w:rFonts w:ascii="Arial" w:hAnsi="Arial" w:hint="eastAsia"/>
          <w:b/>
          <w:szCs w:val="28"/>
        </w:rPr>
        <w:t>3</w:t>
      </w:r>
      <w:r>
        <w:rPr>
          <w:rFonts w:ascii="Arial" w:hAnsi="Arial" w:cs="Arial" w:hint="eastAsia"/>
          <w:b/>
          <w:szCs w:val="21"/>
        </w:rPr>
        <w:t>“新湖香格里拉”</w:t>
      </w:r>
      <w:r>
        <w:rPr>
          <w:rFonts w:ascii="Arial" w:hAnsi="Arial" w:cs="Arial" w:hint="eastAsia"/>
          <w:b/>
          <w:szCs w:val="21"/>
        </w:rPr>
        <w:t>1</w:t>
      </w:r>
      <w:r>
        <w:rPr>
          <w:rFonts w:ascii="Arial" w:hAnsi="Arial" w:cs="Arial" w:hint="eastAsia"/>
          <w:b/>
          <w:szCs w:val="21"/>
        </w:rPr>
        <w:t>幢别墅用房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根据评估专业人员对该区域房地产市场的分析，</w:t>
      </w:r>
      <w:r>
        <w:rPr>
          <w:rFonts w:ascii="Arial" w:hAnsi="Arial" w:cs="Arial" w:hint="eastAsia"/>
          <w:szCs w:val="21"/>
        </w:rPr>
        <w:t>对比</w:t>
      </w:r>
      <w:proofErr w:type="gramStart"/>
      <w:r>
        <w:rPr>
          <w:rFonts w:ascii="Arial" w:hAnsi="Arial" w:cs="Arial" w:hint="eastAsia"/>
          <w:szCs w:val="21"/>
        </w:rPr>
        <w:t>两价值</w:t>
      </w:r>
      <w:proofErr w:type="gramEnd"/>
      <w:r>
        <w:rPr>
          <w:rFonts w:ascii="Arial" w:hAnsi="Arial" w:cs="Arial" w:hint="eastAsia"/>
          <w:szCs w:val="21"/>
        </w:rPr>
        <w:t>时点（</w:t>
      </w:r>
      <w:r>
        <w:rPr>
          <w:rFonts w:ascii="Arial" w:hAnsi="Arial" w:cs="Arial" w:hint="eastAsia"/>
          <w:szCs w:val="21"/>
        </w:rPr>
        <w:t>2016</w:t>
      </w:r>
      <w:r>
        <w:rPr>
          <w:rFonts w:ascii="Arial" w:hAnsi="Arial" w:cs="Arial" w:hint="eastAsia"/>
          <w:szCs w:val="21"/>
        </w:rPr>
        <w:t>年</w:t>
      </w:r>
      <w:r>
        <w:rPr>
          <w:rFonts w:ascii="Arial" w:hAnsi="Arial" w:cs="Arial" w:hint="eastAsia"/>
          <w:szCs w:val="21"/>
        </w:rPr>
        <w:t>7</w:t>
      </w:r>
      <w:r>
        <w:rPr>
          <w:rFonts w:ascii="Arial" w:hAnsi="Arial" w:cs="Arial" w:hint="eastAsia"/>
          <w:szCs w:val="21"/>
        </w:rPr>
        <w:t>月与</w:t>
      </w:r>
      <w:r>
        <w:rPr>
          <w:rFonts w:ascii="Arial" w:hAnsi="Arial" w:cs="Arial" w:hint="eastAsia"/>
          <w:szCs w:val="21"/>
        </w:rPr>
        <w:t>2021</w:t>
      </w:r>
      <w:r>
        <w:rPr>
          <w:rFonts w:ascii="Arial" w:hAnsi="Arial" w:cs="Arial" w:hint="eastAsia"/>
          <w:szCs w:val="21"/>
        </w:rPr>
        <w:t>年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月），估价对象周边别墅用房房地产市场成交情况等，</w:t>
      </w:r>
      <w:r>
        <w:rPr>
          <w:rFonts w:ascii="Arial" w:hAnsi="Arial" w:cs="Arial"/>
          <w:szCs w:val="21"/>
        </w:rPr>
        <w:t>我们认为</w:t>
      </w:r>
      <w:r>
        <w:rPr>
          <w:rFonts w:ascii="Arial" w:hAnsi="Arial" w:cs="Arial" w:hint="eastAsia"/>
          <w:szCs w:val="21"/>
        </w:rPr>
        <w:t>本次价值时点</w:t>
      </w:r>
      <w:r>
        <w:rPr>
          <w:rFonts w:ascii="Arial" w:hAnsi="Arial" w:cs="Arial"/>
          <w:szCs w:val="21"/>
        </w:rPr>
        <w:t>估价对象</w:t>
      </w:r>
      <w:r>
        <w:rPr>
          <w:rFonts w:ascii="Arial" w:hAnsi="Arial" w:cs="Arial" w:hint="eastAsia"/>
          <w:szCs w:val="21"/>
        </w:rPr>
        <w:t>浙江省金华市兰溪市上华街道</w:t>
      </w:r>
      <w:proofErr w:type="gramStart"/>
      <w:r>
        <w:rPr>
          <w:rFonts w:ascii="Arial" w:hAnsi="Arial" w:cs="Arial" w:hint="eastAsia"/>
          <w:szCs w:val="21"/>
        </w:rPr>
        <w:t>衢</w:t>
      </w:r>
      <w:proofErr w:type="gramEnd"/>
      <w:r>
        <w:rPr>
          <w:rFonts w:ascii="Arial" w:hAnsi="Arial" w:cs="Arial" w:hint="eastAsia"/>
          <w:szCs w:val="21"/>
        </w:rPr>
        <w:t>江路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号新湖香格里拉鸣翠苑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幢别墅用房房地产单价水平与原价值时点单</w:t>
      </w:r>
      <w:r>
        <w:rPr>
          <w:rFonts w:ascii="Arial" w:hAnsi="Arial" w:cs="Arial" w:hint="eastAsia"/>
          <w:szCs w:val="21"/>
        </w:rPr>
        <w:lastRenderedPageBreak/>
        <w:t>价水平相比，有一定上涨幅度。本次评估估价对象</w:t>
      </w: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 w:hint="eastAsia"/>
          <w:szCs w:val="21"/>
        </w:rPr>
        <w:t>估价范围内的房地产在</w:t>
      </w:r>
      <w:r>
        <w:rPr>
          <w:rFonts w:ascii="Arial" w:hAnsi="Arial" w:cs="Arial"/>
        </w:rPr>
        <w:t>20</w:t>
      </w:r>
      <w:r>
        <w:rPr>
          <w:rFonts w:ascii="Arial" w:hAnsi="Arial" w:cs="Arial" w:hint="eastAsia"/>
        </w:rPr>
        <w:t>21</w:t>
      </w:r>
      <w:r>
        <w:rPr>
          <w:rFonts w:ascii="Arial" w:hAnsi="Arial" w:cs="Arial"/>
        </w:rPr>
        <w:t>年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25</w:t>
      </w:r>
      <w:r>
        <w:rPr>
          <w:rFonts w:ascii="Arial" w:hAnsi="Arial" w:cs="Arial"/>
        </w:rPr>
        <w:t>日</w:t>
      </w:r>
      <w:r>
        <w:rPr>
          <w:rFonts w:ascii="Arial" w:hAnsi="Arial" w:cs="Arial"/>
          <w:szCs w:val="28"/>
        </w:rPr>
        <w:t>可能形成的房地产市场价值</w:t>
      </w:r>
      <w:r>
        <w:rPr>
          <w:rFonts w:ascii="Arial" w:hAnsi="Arial" w:cs="Arial" w:hint="eastAsia"/>
          <w:szCs w:val="28"/>
        </w:rPr>
        <w:t>高于</w:t>
      </w:r>
      <w:r>
        <w:rPr>
          <w:rFonts w:ascii="Arial" w:hAnsi="Arial" w:cs="Arial" w:hint="eastAsia"/>
          <w:szCs w:val="28"/>
        </w:rPr>
        <w:t>2016</w:t>
      </w:r>
      <w:r>
        <w:rPr>
          <w:rFonts w:ascii="Arial" w:hAnsi="Arial" w:cs="Arial" w:hint="eastAsia"/>
          <w:szCs w:val="28"/>
        </w:rPr>
        <w:t>年时点</w:t>
      </w:r>
      <w:proofErr w:type="gramStart"/>
      <w:r>
        <w:rPr>
          <w:rFonts w:ascii="Arial" w:hAnsi="Arial" w:cs="Arial" w:hint="eastAsia"/>
          <w:szCs w:val="28"/>
        </w:rPr>
        <w:t>同范围</w:t>
      </w:r>
      <w:proofErr w:type="gramEnd"/>
      <w:r>
        <w:rPr>
          <w:rFonts w:ascii="Arial" w:hAnsi="Arial" w:cs="Arial" w:hint="eastAsia"/>
          <w:szCs w:val="28"/>
        </w:rPr>
        <w:t>估价对象房地产抵押价值</w:t>
      </w:r>
      <w:r>
        <w:rPr>
          <w:rFonts w:ascii="Arial" w:hAnsi="Arial" w:cs="Arial"/>
          <w:szCs w:val="21"/>
        </w:rPr>
        <w:t>。</w:t>
      </w:r>
    </w:p>
    <w:p w:rsidR="00040132" w:rsidRDefault="00040132" w:rsidP="00040132">
      <w:pPr>
        <w:spacing w:line="480" w:lineRule="auto"/>
        <w:ind w:right="310" w:firstLineChars="200" w:firstLine="420"/>
        <w:rPr>
          <w:rFonts w:ascii="Arial" w:hAnsi="Arial" w:cs="Arial" w:hint="eastAsia"/>
          <w:szCs w:val="28"/>
        </w:rPr>
      </w:pPr>
      <w:r>
        <w:rPr>
          <w:rFonts w:ascii="Arial" w:hAnsi="Arial" w:cs="Arial"/>
          <w:szCs w:val="21"/>
        </w:rPr>
        <w:t>综合上述</w:t>
      </w:r>
      <w:r>
        <w:rPr>
          <w:rFonts w:ascii="Arial" w:hAnsi="Arial" w:cs="Arial" w:hint="eastAsia"/>
          <w:szCs w:val="21"/>
        </w:rPr>
        <w:t>三</w:t>
      </w:r>
      <w:r>
        <w:rPr>
          <w:rFonts w:ascii="Arial" w:hAnsi="Arial" w:cs="Arial"/>
          <w:szCs w:val="21"/>
        </w:rPr>
        <w:t>部分，本次评估估价对象</w:t>
      </w:r>
      <w:r>
        <w:rPr>
          <w:rFonts w:ascii="Arial" w:hAnsi="Arial" w:cs="Arial"/>
          <w:szCs w:val="28"/>
        </w:rPr>
        <w:t>在</w:t>
      </w:r>
      <w:r>
        <w:rPr>
          <w:rFonts w:ascii="Arial" w:hAnsi="Arial" w:cs="Arial"/>
        </w:rPr>
        <w:t>20</w:t>
      </w:r>
      <w:r>
        <w:rPr>
          <w:rFonts w:ascii="Arial" w:hAnsi="Arial" w:cs="Arial" w:hint="eastAsia"/>
        </w:rPr>
        <w:t>21</w:t>
      </w:r>
      <w:r>
        <w:rPr>
          <w:rFonts w:ascii="Arial" w:hAnsi="Arial" w:cs="Arial"/>
        </w:rPr>
        <w:t>年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25</w:t>
      </w:r>
      <w:r>
        <w:rPr>
          <w:rFonts w:ascii="Arial" w:hAnsi="Arial" w:cs="Arial"/>
        </w:rPr>
        <w:t>日</w:t>
      </w:r>
      <w:r>
        <w:rPr>
          <w:rFonts w:ascii="Arial" w:hAnsi="Arial" w:cs="Arial"/>
          <w:szCs w:val="28"/>
        </w:rPr>
        <w:t>可能形成的</w:t>
      </w:r>
      <w:r>
        <w:rPr>
          <w:rFonts w:ascii="Arial" w:hAnsi="Arial" w:cs="Arial" w:hint="eastAsia"/>
          <w:szCs w:val="28"/>
        </w:rPr>
        <w:t>整体</w:t>
      </w:r>
      <w:r>
        <w:rPr>
          <w:rFonts w:ascii="Arial" w:hAnsi="Arial" w:cs="Arial"/>
          <w:szCs w:val="28"/>
        </w:rPr>
        <w:t>房地产市场价值</w:t>
      </w:r>
      <w:r>
        <w:rPr>
          <w:rFonts w:ascii="Arial" w:hAnsi="Arial" w:cs="Arial" w:hint="eastAsia"/>
          <w:szCs w:val="28"/>
        </w:rPr>
        <w:t>与</w:t>
      </w:r>
      <w:r>
        <w:rPr>
          <w:rFonts w:ascii="Arial" w:hAnsi="Arial" w:cs="Arial" w:hint="eastAsia"/>
          <w:szCs w:val="28"/>
        </w:rPr>
        <w:t>2016</w:t>
      </w:r>
      <w:r>
        <w:rPr>
          <w:rFonts w:ascii="Arial" w:hAnsi="Arial" w:cs="Arial" w:hint="eastAsia"/>
          <w:szCs w:val="28"/>
        </w:rPr>
        <w:t>年时点</w:t>
      </w:r>
      <w:proofErr w:type="gramStart"/>
      <w:r>
        <w:rPr>
          <w:rFonts w:ascii="Arial" w:hAnsi="Arial" w:cs="Arial" w:hint="eastAsia"/>
          <w:szCs w:val="28"/>
        </w:rPr>
        <w:t>同范围</w:t>
      </w:r>
      <w:proofErr w:type="gramEnd"/>
      <w:r>
        <w:rPr>
          <w:rFonts w:ascii="Arial" w:hAnsi="Arial" w:cs="Arial" w:hint="eastAsia"/>
          <w:szCs w:val="28"/>
        </w:rPr>
        <w:t>估价对象</w:t>
      </w:r>
      <w:r>
        <w:rPr>
          <w:rFonts w:ascii="Arial" w:hAnsi="Arial" w:cs="Arial"/>
          <w:szCs w:val="28"/>
        </w:rPr>
        <w:t>评估价值水平</w:t>
      </w:r>
      <w:r>
        <w:rPr>
          <w:rFonts w:ascii="Arial" w:hAnsi="Arial" w:cs="Arial" w:hint="eastAsia"/>
          <w:szCs w:val="28"/>
        </w:rPr>
        <w:t>基本持平</w:t>
      </w:r>
      <w:r>
        <w:rPr>
          <w:rFonts w:ascii="Arial" w:hAnsi="Arial" w:cs="Arial"/>
          <w:szCs w:val="28"/>
        </w:rPr>
        <w:t>。</w:t>
      </w:r>
    </w:p>
    <w:tbl>
      <w:tblPr>
        <w:tblW w:w="9298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2331"/>
        <w:gridCol w:w="823"/>
        <w:gridCol w:w="813"/>
        <w:gridCol w:w="753"/>
        <w:gridCol w:w="705"/>
        <w:gridCol w:w="968"/>
        <w:gridCol w:w="1147"/>
        <w:gridCol w:w="1207"/>
      </w:tblGrid>
      <w:tr w:rsidR="00040132" w:rsidTr="005B1002">
        <w:trPr>
          <w:cantSplit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序号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抵押物名称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价值时点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(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分摊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)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土地面积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(m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  <w:vertAlign w:val="superscript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)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建筑面积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(m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  <w:vertAlign w:val="superscript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房地产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市场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价值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（万元）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评估楼面单价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（元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/m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  <w:vertAlign w:val="superscript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扣除相关处置税费后价值（万元）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2016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年时点</w:t>
            </w:r>
            <w:proofErr w:type="gramStart"/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同范围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房地产抵押价值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（万元）</w:t>
            </w:r>
          </w:p>
        </w:tc>
      </w:tr>
      <w:tr w:rsidR="00040132" w:rsidTr="005B1002">
        <w:trPr>
          <w:cantSplit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浙江省金华市兰溪市上华街道</w:t>
            </w: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衢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江路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号新湖</w:t>
            </w: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香格里拉天御苑</w:t>
            </w:r>
            <w:proofErr w:type="gramEnd"/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3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幢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单元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101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号等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39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套住宅用房房地产抵押价值评估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（简称“估价对象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”）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21/1/25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1799.89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6306.27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6208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9844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5298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5265</w:t>
            </w:r>
          </w:p>
        </w:tc>
      </w:tr>
      <w:tr w:rsidR="00040132" w:rsidTr="005B1002">
        <w:trPr>
          <w:cantSplit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浙江省金华市兰溪市上华街道</w:t>
            </w: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衢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江路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5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号新湖新天地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幢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号等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26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套商业服务用房房地产抵押价值评估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（简称“估价对象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”）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21/1/25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4664.05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8041.99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13548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16847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11307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14485</w:t>
            </w:r>
          </w:p>
        </w:tc>
      </w:tr>
      <w:tr w:rsidR="00040132" w:rsidTr="005B1002">
        <w:trPr>
          <w:cantSplit/>
          <w:jc w:val="center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浙江澳辰地产发展有限公司浙江省金华市兰溪市上华街道</w:t>
            </w:r>
            <w:proofErr w:type="gramStart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衢</w:t>
            </w:r>
            <w:proofErr w:type="gramEnd"/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江路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号新湖香格里拉鸣翠苑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幢别墅用房房地产抵押价值评估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（简称“估价对象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3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”）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21/1/25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269.9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460.69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910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19753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861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888</w:t>
            </w:r>
          </w:p>
        </w:tc>
      </w:tr>
      <w:tr w:rsidR="00040132" w:rsidTr="005B1002">
        <w:trPr>
          <w:cantSplit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合计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6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733.84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14808.95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20666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  <w:t>——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17466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132" w:rsidRDefault="00040132" w:rsidP="005B1002"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6"/>
                <w:szCs w:val="18"/>
              </w:rPr>
              <w:t>20638</w:t>
            </w:r>
          </w:p>
        </w:tc>
      </w:tr>
    </w:tbl>
    <w:p w:rsidR="00040132" w:rsidRDefault="00040132" w:rsidP="00040132">
      <w:pPr>
        <w:spacing w:line="480" w:lineRule="auto"/>
        <w:ind w:firstLineChars="1000" w:firstLine="21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顺致</w:t>
      </w:r>
    </w:p>
    <w:p w:rsidR="00040132" w:rsidRDefault="00040132" w:rsidP="00040132">
      <w:pPr>
        <w:spacing w:line="480" w:lineRule="auto"/>
        <w:rPr>
          <w:rFonts w:ascii="Arial" w:hAnsi="Arial" w:cs="Arial" w:hint="eastAsia"/>
          <w:szCs w:val="21"/>
        </w:rPr>
      </w:pPr>
      <w:r>
        <w:rPr>
          <w:rFonts w:ascii="Arial" w:hAnsi="Arial" w:cs="Arial"/>
          <w:szCs w:val="21"/>
        </w:rPr>
        <w:t>商祺</w:t>
      </w:r>
      <w:r>
        <w:rPr>
          <w:rFonts w:ascii="Arial" w:hAnsi="Arial" w:cs="Arial"/>
          <w:szCs w:val="21"/>
        </w:rPr>
        <w:t xml:space="preserve">                                                   </w:t>
      </w:r>
    </w:p>
    <w:p w:rsidR="00040132" w:rsidRDefault="00040132" w:rsidP="00040132">
      <w:pPr>
        <w:spacing w:line="480" w:lineRule="auto"/>
        <w:rPr>
          <w:rFonts w:ascii="Arial" w:hAnsi="Arial" w:cs="Arial"/>
          <w:szCs w:val="21"/>
        </w:rPr>
      </w:pPr>
    </w:p>
    <w:p w:rsidR="00040132" w:rsidRDefault="00040132" w:rsidP="00040132">
      <w:pPr>
        <w:spacing w:line="480" w:lineRule="auto"/>
        <w:jc w:val="right"/>
        <w:rPr>
          <w:rFonts w:ascii="Arial" w:hAnsi="Arial" w:cs="Arial" w:hint="eastAsia"/>
          <w:szCs w:val="21"/>
        </w:rPr>
      </w:pPr>
      <w:r>
        <w:rPr>
          <w:rFonts w:ascii="Arial" w:hAnsi="Arial" w:cs="Arial"/>
          <w:szCs w:val="21"/>
        </w:rPr>
        <w:t xml:space="preserve">                                   </w:t>
      </w:r>
      <w:proofErr w:type="gramStart"/>
      <w:r>
        <w:rPr>
          <w:rFonts w:ascii="Arial" w:hAnsi="Arial" w:cs="Arial"/>
          <w:szCs w:val="21"/>
        </w:rPr>
        <w:t>北京康正宏</w:t>
      </w:r>
      <w:proofErr w:type="gramEnd"/>
      <w:r>
        <w:rPr>
          <w:rFonts w:ascii="Arial" w:hAnsi="Arial" w:cs="Arial"/>
          <w:szCs w:val="21"/>
        </w:rPr>
        <w:t>基房地产评估有限公司</w:t>
      </w:r>
    </w:p>
    <w:p w:rsidR="00040132" w:rsidRDefault="00040132" w:rsidP="00040132">
      <w:pPr>
        <w:spacing w:line="480" w:lineRule="auto"/>
        <w:jc w:val="right"/>
        <w:rPr>
          <w:rFonts w:ascii="Arial" w:hAnsi="Arial" w:cs="Arial"/>
          <w:szCs w:val="21"/>
        </w:rPr>
        <w:sectPr w:rsidR="00040132">
          <w:headerReference w:type="default" r:id="rId8"/>
          <w:footerReference w:type="default" r:id="rId9"/>
          <w:pgSz w:w="11907" w:h="16840"/>
          <w:pgMar w:top="1843" w:right="1134" w:bottom="1134" w:left="1134" w:header="1134" w:footer="907" w:gutter="340"/>
          <w:cols w:space="720"/>
          <w:docGrid w:type="linesAndChars" w:linePitch="312"/>
        </w:sectPr>
      </w:pPr>
      <w:r>
        <w:rPr>
          <w:rFonts w:ascii="Arial" w:hAnsi="Arial" w:cs="Arial"/>
          <w:szCs w:val="21"/>
        </w:rPr>
        <w:t>二</w:t>
      </w:r>
      <w:r>
        <w:rPr>
          <w:rFonts w:ascii="Arial" w:hAnsi="Arial" w:cs="Arial" w:hint="eastAsia"/>
          <w:szCs w:val="21"/>
        </w:rPr>
        <w:t>○</w:t>
      </w:r>
      <w:r>
        <w:rPr>
          <w:rFonts w:ascii="Arial" w:hAnsi="Arial" w:cs="Arial"/>
          <w:szCs w:val="21"/>
        </w:rPr>
        <w:t>二</w:t>
      </w:r>
      <w:r>
        <w:rPr>
          <w:rFonts w:ascii="Arial" w:hAnsi="Arial" w:cs="Arial" w:hint="eastAsia"/>
          <w:szCs w:val="21"/>
        </w:rPr>
        <w:t>一</w:t>
      </w:r>
      <w:r>
        <w:rPr>
          <w:rFonts w:ascii="Arial" w:hAnsi="Arial" w:cs="Arial"/>
          <w:szCs w:val="21"/>
        </w:rPr>
        <w:t>年</w:t>
      </w:r>
      <w:r>
        <w:rPr>
          <w:rFonts w:ascii="Arial" w:hAnsi="Arial" w:cs="Arial" w:hint="eastAsia"/>
          <w:szCs w:val="21"/>
        </w:rPr>
        <w:t>二月九日</w:t>
      </w:r>
    </w:p>
    <w:p w:rsidR="00040132" w:rsidRPr="00040132" w:rsidRDefault="00040132" w:rsidP="00040132">
      <w:pPr>
        <w:adjustRightInd w:val="0"/>
        <w:spacing w:line="480" w:lineRule="auto"/>
        <w:textAlignment w:val="baseline"/>
        <w:rPr>
          <w:rFonts w:ascii="Arial" w:hAnsi="Arial" w:cs="Arial" w:hint="eastAsia"/>
          <w:b/>
          <w:szCs w:val="21"/>
        </w:rPr>
      </w:pPr>
      <w:r w:rsidRPr="00040132">
        <w:rPr>
          <w:rFonts w:ascii="Arial" w:hAnsi="Arial" w:cs="Arial" w:hint="eastAsia"/>
          <w:b/>
          <w:szCs w:val="21"/>
        </w:rPr>
        <w:lastRenderedPageBreak/>
        <w:t>附件：</w:t>
      </w:r>
    </w:p>
    <w:p w:rsidR="00040132" w:rsidRPr="00040132" w:rsidRDefault="00040132" w:rsidP="00040132">
      <w:pPr>
        <w:adjustRightInd w:val="0"/>
        <w:spacing w:line="480" w:lineRule="auto"/>
        <w:jc w:val="center"/>
        <w:textAlignment w:val="baseline"/>
        <w:rPr>
          <w:rFonts w:ascii="Arial" w:hAnsi="Arial" w:cs="Arial"/>
          <w:b/>
          <w:szCs w:val="21"/>
        </w:rPr>
      </w:pPr>
      <w:r w:rsidRPr="00040132">
        <w:rPr>
          <w:rFonts w:ascii="Arial" w:hAnsi="Arial" w:cs="Arial" w:hint="eastAsia"/>
          <w:b/>
          <w:szCs w:val="21"/>
        </w:rPr>
        <w:t>住宅</w:t>
      </w:r>
      <w:proofErr w:type="gramStart"/>
      <w:r w:rsidRPr="00040132">
        <w:rPr>
          <w:rFonts w:ascii="Arial" w:hAnsi="Arial" w:cs="Arial" w:hint="eastAsia"/>
          <w:b/>
          <w:szCs w:val="21"/>
        </w:rPr>
        <w:t>用房分套价值</w:t>
      </w:r>
      <w:proofErr w:type="gramEnd"/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813"/>
        <w:gridCol w:w="753"/>
        <w:gridCol w:w="993"/>
        <w:gridCol w:w="1275"/>
        <w:gridCol w:w="3686"/>
        <w:gridCol w:w="1076"/>
      </w:tblGrid>
      <w:tr w:rsidR="00040132" w:rsidTr="00CB518D">
        <w:trPr>
          <w:trHeight w:val="20"/>
          <w:tblHeader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132" w:rsidRDefault="00040132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132" w:rsidRDefault="00040132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幢号</w:t>
            </w: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132" w:rsidRDefault="00040132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单元号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132" w:rsidRDefault="00040132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户室名称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132" w:rsidRDefault="00040132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建筑面积（㎡）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132" w:rsidRDefault="00040132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不动产权证书编号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132" w:rsidRDefault="00040132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（万元）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1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3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号楼</w:t>
            </w: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174.53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0001762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142.71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0001749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174.53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0001773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174.86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0001748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143.05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0001746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174.86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0001743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174.86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0001741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174.86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0001736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174.86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0001760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143.05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0001759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174.86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0001756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174.86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0001775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702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174.74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0001763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1102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174.74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0001818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0001777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0001779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1602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174.74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0001811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1801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174.75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0001622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1802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0001620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1801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0001619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1901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174.75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0001618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1902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174.74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0001631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2201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0001656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2202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174.74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0001634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2301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174.75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0001655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2302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0001654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27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2401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174.75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0001651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2402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0001650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2401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0001648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2402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174.74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0001638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2502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0001645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2502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174.74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0001644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2701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0001694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2702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174.74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0001670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2801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174.75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0001693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3001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0001678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1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3101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174.75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0001683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3102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0001684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7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13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2372EA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单元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3202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142.92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浙（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2016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）兰溪市不动产权第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0001658</w:t>
            </w:r>
            <w:r>
              <w:rPr>
                <w:rStyle w:val="font51"/>
                <w:rFonts w:ascii="Arial" w:hAnsi="Arial" w:cs="Arial" w:hint="default"/>
                <w:sz w:val="18"/>
                <w:szCs w:val="18"/>
                <w:lang w:bidi="ar"/>
              </w:rPr>
              <w:t>号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</w:tr>
      <w:tr w:rsidR="002372EA" w:rsidTr="00CB518D">
        <w:trPr>
          <w:trHeight w:val="20"/>
          <w:jc w:val="center"/>
        </w:trPr>
        <w:tc>
          <w:tcPr>
            <w:tcW w:w="3261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6306.27</w:t>
            </w:r>
          </w:p>
        </w:tc>
        <w:tc>
          <w:tcPr>
            <w:tcW w:w="368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——</w:t>
            </w:r>
          </w:p>
        </w:tc>
        <w:tc>
          <w:tcPr>
            <w:tcW w:w="1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372EA" w:rsidRDefault="00021044">
            <w:pPr>
              <w:widowControl/>
              <w:textAlignment w:val="center"/>
              <w:rPr>
                <w:rFonts w:ascii="Arial" w:eastAsia="华文细黑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6208</w:t>
            </w:r>
          </w:p>
        </w:tc>
      </w:tr>
    </w:tbl>
    <w:p w:rsidR="002372EA" w:rsidRDefault="002372EA">
      <w:pPr>
        <w:rPr>
          <w:rFonts w:hint="eastAsia"/>
        </w:rPr>
      </w:pPr>
    </w:p>
    <w:p w:rsidR="00046709" w:rsidRPr="00040132" w:rsidRDefault="00046709" w:rsidP="00046709">
      <w:pPr>
        <w:adjustRightInd w:val="0"/>
        <w:spacing w:line="480" w:lineRule="auto"/>
        <w:jc w:val="center"/>
        <w:textAlignment w:val="baseline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</w:rPr>
        <w:t>商业</w:t>
      </w:r>
      <w:proofErr w:type="gramStart"/>
      <w:r w:rsidRPr="00040132">
        <w:rPr>
          <w:rFonts w:ascii="Arial" w:hAnsi="Arial" w:cs="Arial" w:hint="eastAsia"/>
          <w:b/>
          <w:szCs w:val="21"/>
        </w:rPr>
        <w:t>用房分套价值</w:t>
      </w:r>
      <w:proofErr w:type="gramEnd"/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787"/>
        <w:gridCol w:w="1482"/>
        <w:gridCol w:w="3721"/>
        <w:gridCol w:w="1666"/>
        <w:gridCol w:w="1643"/>
      </w:tblGrid>
      <w:tr w:rsidR="00046709" w:rsidRPr="00390825" w:rsidTr="00CB518D">
        <w:trPr>
          <w:trHeight w:val="20"/>
          <w:tblHeader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楼号及房间号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不动产证号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建筑面积（平方米）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评估价值（万元）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3-205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0011849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215.8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327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3-204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0011884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98.35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152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3-203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0011886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354.51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538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3-106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0011888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131.54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252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3-105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0011873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96.59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187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3-104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0011871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182.77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350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3-103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0011874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133.98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257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3-102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0011870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87.87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170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2-206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0011878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170.34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261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2-205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0011877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148.16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227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2-204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0011876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90.61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2-203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0011882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95.74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148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2-202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0011846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271.84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412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2-201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0011845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473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2-106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0011847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100.3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192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2-105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0011853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93.38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181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2-104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0011852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100.88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193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2-103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0011850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474.22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899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2-102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0011851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198.52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380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2-101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0011848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116.33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223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1-203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0011872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737.69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1108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1-202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0011854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415.69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631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1-201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0011859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1457.11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2166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1-104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0011858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762.01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1431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1-103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0011857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283.85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538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1-102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浙（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）兰溪市不动产权第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0011856</w:t>
            </w: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911.91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1712</w:t>
            </w:r>
          </w:p>
        </w:tc>
      </w:tr>
      <w:tr w:rsidR="00046709" w:rsidRPr="00390825" w:rsidTr="00CB518D">
        <w:trPr>
          <w:trHeight w:val="20"/>
          <w:jc w:val="center"/>
        </w:trPr>
        <w:tc>
          <w:tcPr>
            <w:tcW w:w="5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8041.99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6709" w:rsidRPr="00390825" w:rsidRDefault="00046709" w:rsidP="005B1002">
            <w:pPr>
              <w:widowControl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90825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13548</w:t>
            </w:r>
          </w:p>
        </w:tc>
      </w:tr>
    </w:tbl>
    <w:p w:rsidR="00046709" w:rsidRDefault="00046709">
      <w:bookmarkStart w:id="1" w:name="_GoBack"/>
      <w:bookmarkEnd w:id="1"/>
    </w:p>
    <w:sectPr w:rsidR="00046709">
      <w:pgSz w:w="11906" w:h="16838"/>
      <w:pgMar w:top="1843" w:right="1304" w:bottom="1134" w:left="130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44" w:rsidRDefault="00021044" w:rsidP="00040132">
      <w:r>
        <w:separator/>
      </w:r>
    </w:p>
  </w:endnote>
  <w:endnote w:type="continuationSeparator" w:id="0">
    <w:p w:rsidR="00021044" w:rsidRDefault="00021044" w:rsidP="0004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32" w:rsidRDefault="00040132">
    <w:pPr>
      <w:pStyle w:val="a4"/>
      <w:pBdr>
        <w:top w:val="single" w:sz="8" w:space="1" w:color="auto"/>
      </w:pBdr>
      <w:tabs>
        <w:tab w:val="clear" w:pos="4153"/>
        <w:tab w:val="clear" w:pos="8306"/>
        <w:tab w:val="right" w:pos="9027"/>
      </w:tabs>
      <w:jc w:val="center"/>
    </w:pPr>
    <w:r>
      <w:rPr>
        <w:rFonts w:ascii="Calibri" w:hAnsi="Calibri"/>
      </w:rPr>
      <w:fldChar w:fldCharType="begin"/>
    </w:r>
    <w:r>
      <w:instrText>PAGE   \* MERGEFORMAT</w:instrText>
    </w:r>
    <w:r>
      <w:rPr>
        <w:rFonts w:ascii="Calibri" w:hAnsi="Calibri"/>
      </w:rPr>
      <w:fldChar w:fldCharType="separate"/>
    </w:r>
    <w:r w:rsidR="00CB518D" w:rsidRPr="00CB518D">
      <w:rPr>
        <w:rFonts w:ascii="Arial" w:hAnsi="Arial"/>
        <w:noProof/>
        <w:lang w:val="zh-CN" w:eastAsia="zh-CN"/>
      </w:rPr>
      <w:t>1</w:t>
    </w:r>
    <w:r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44" w:rsidRDefault="00021044" w:rsidP="00040132">
      <w:r>
        <w:separator/>
      </w:r>
    </w:p>
  </w:footnote>
  <w:footnote w:type="continuationSeparator" w:id="0">
    <w:p w:rsidR="00021044" w:rsidRDefault="00021044" w:rsidP="00040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32" w:rsidRDefault="00040132">
    <w:pPr>
      <w:pStyle w:val="a3"/>
      <w:pBdr>
        <w:bottom w:val="none" w:sz="0" w:space="0" w:color="auto"/>
      </w:pBdr>
      <w:rPr>
        <w:rFonts w:hint="eastAsia"/>
      </w:rPr>
    </w:pPr>
    <w:r>
      <w:rPr>
        <w:noProof/>
      </w:rPr>
      <w:drawing>
        <wp:inline distT="0" distB="0" distL="0" distR="0">
          <wp:extent cx="5901055" cy="287020"/>
          <wp:effectExtent l="0" t="0" r="4445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05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46427"/>
    <w:rsid w:val="00021044"/>
    <w:rsid w:val="00040132"/>
    <w:rsid w:val="00046709"/>
    <w:rsid w:val="002372EA"/>
    <w:rsid w:val="00CB518D"/>
    <w:rsid w:val="3C1336BA"/>
    <w:rsid w:val="45F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40132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Pr>
      <w:rFonts w:ascii="华文细黑" w:eastAsia="华文细黑" w:hAnsi="华文细黑" w:cs="华文细黑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uiPriority w:val="99"/>
    <w:rsid w:val="0004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1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40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01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040132"/>
    <w:rPr>
      <w:rFonts w:ascii="Arial" w:eastAsia="仿宋_GB2312" w:hAnsi="Arial" w:cs="Arial"/>
      <w:b/>
      <w:sz w:val="28"/>
    </w:rPr>
  </w:style>
  <w:style w:type="paragraph" w:styleId="a5">
    <w:name w:val="Balloon Text"/>
    <w:basedOn w:val="a"/>
    <w:link w:val="Char1"/>
    <w:rsid w:val="00040132"/>
    <w:rPr>
      <w:sz w:val="18"/>
      <w:szCs w:val="18"/>
    </w:rPr>
  </w:style>
  <w:style w:type="character" w:customStyle="1" w:styleId="Char1">
    <w:name w:val="批注框文本 Char"/>
    <w:basedOn w:val="a0"/>
    <w:link w:val="a5"/>
    <w:rsid w:val="000401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40132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Pr>
      <w:rFonts w:ascii="华文细黑" w:eastAsia="华文细黑" w:hAnsi="华文细黑" w:cs="华文细黑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uiPriority w:val="99"/>
    <w:rsid w:val="0004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1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40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01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040132"/>
    <w:rPr>
      <w:rFonts w:ascii="Arial" w:eastAsia="仿宋_GB2312" w:hAnsi="Arial" w:cs="Arial"/>
      <w:b/>
      <w:sz w:val="28"/>
    </w:rPr>
  </w:style>
  <w:style w:type="paragraph" w:styleId="a5">
    <w:name w:val="Balloon Text"/>
    <w:basedOn w:val="a"/>
    <w:link w:val="Char1"/>
    <w:rsid w:val="00040132"/>
    <w:rPr>
      <w:sz w:val="18"/>
      <w:szCs w:val="18"/>
    </w:rPr>
  </w:style>
  <w:style w:type="character" w:customStyle="1" w:styleId="Char1">
    <w:name w:val="批注框文本 Char"/>
    <w:basedOn w:val="a0"/>
    <w:link w:val="a5"/>
    <w:rsid w:val="000401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852</Words>
  <Characters>4859</Characters>
  <Application>Microsoft Office Word</Application>
  <DocSecurity>0</DocSecurity>
  <Lines>40</Lines>
  <Paragraphs>11</Paragraphs>
  <ScaleCrop>false</ScaleCrop>
  <Company>CHINA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sophia雅0407</dc:creator>
  <cp:lastModifiedBy>USER</cp:lastModifiedBy>
  <cp:revision>4</cp:revision>
  <dcterms:created xsi:type="dcterms:W3CDTF">2021-02-23T06:10:00Z</dcterms:created>
  <dcterms:modified xsi:type="dcterms:W3CDTF">2021-02-25T09:21:00Z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