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Arial" w:hAnsi="Arial" w:eastAsia="楷体_GB2312" w:cs="Arial"/>
          <w:b/>
          <w:bCs/>
          <w:sz w:val="32"/>
          <w:szCs w:val="32"/>
        </w:rPr>
      </w:pPr>
      <w:r>
        <w:rPr>
          <w:rFonts w:ascii="Arial" w:hAnsi="Arial" w:eastAsia="楷体_GB2312" w:cs="Arial"/>
          <w:b/>
          <w:bCs/>
          <w:sz w:val="32"/>
          <w:szCs w:val="32"/>
        </w:rPr>
        <w:t>评估费收费说明</w:t>
      </w:r>
    </w:p>
    <w:p>
      <w:pPr>
        <w:spacing w:line="500" w:lineRule="exact"/>
        <w:rPr>
          <w:rFonts w:ascii="Arial" w:hAnsi="Arial" w:eastAsia="楷体_GB2312" w:cs="Arial"/>
          <w:sz w:val="28"/>
          <w:szCs w:val="28"/>
        </w:rPr>
      </w:pPr>
    </w:p>
    <w:p>
      <w:pPr>
        <w:spacing w:line="500" w:lineRule="exact"/>
        <w:rPr>
          <w:rFonts w:ascii="Arial" w:hAnsi="Arial" w:eastAsia="楷体_GB2312" w:cs="Arial"/>
          <w:sz w:val="28"/>
          <w:szCs w:val="28"/>
        </w:rPr>
      </w:pPr>
      <w:r>
        <w:rPr>
          <w:rFonts w:hint="eastAsia" w:ascii="Arial" w:hAnsi="Arial" w:eastAsia="楷体_GB2312" w:cs="Arial"/>
          <w:sz w:val="28"/>
          <w:szCs w:val="28"/>
        </w:rPr>
        <w:t>中国银行股份有限公司北京市分行</w:t>
      </w:r>
      <w:r>
        <w:rPr>
          <w:rFonts w:ascii="Arial" w:hAnsi="Arial" w:eastAsia="楷体_GB2312" w:cs="Arial"/>
          <w:sz w:val="28"/>
          <w:szCs w:val="28"/>
        </w:rPr>
        <w:t>：</w:t>
      </w:r>
    </w:p>
    <w:p>
      <w:pPr>
        <w:spacing w:line="500" w:lineRule="exact"/>
        <w:ind w:firstLine="560" w:firstLineChars="200"/>
        <w:rPr>
          <w:rFonts w:ascii="Arial" w:hAnsi="Arial" w:eastAsia="楷体_GB2312" w:cs="Arial"/>
          <w:sz w:val="28"/>
          <w:szCs w:val="28"/>
        </w:rPr>
      </w:pPr>
      <w:r>
        <w:rPr>
          <w:rFonts w:ascii="Arial" w:hAnsi="Arial" w:eastAsia="楷体_GB2312" w:cs="Arial"/>
          <w:sz w:val="28"/>
          <w:szCs w:val="28"/>
        </w:rPr>
        <w:t>您好！承蒙委托，我公司对</w:t>
      </w:r>
      <w:r>
        <w:rPr>
          <w:rFonts w:hint="eastAsia" w:ascii="Arial" w:hAnsi="Arial" w:eastAsia="楷体_GB2312" w:cs="Arial"/>
          <w:sz w:val="28"/>
          <w:szCs w:val="28"/>
        </w:rPr>
        <w:t>下表中所列房地产</w:t>
      </w:r>
      <w:r>
        <w:rPr>
          <w:rFonts w:ascii="Arial" w:hAnsi="Arial" w:eastAsia="楷体_GB2312" w:cs="Arial"/>
          <w:sz w:val="28"/>
          <w:szCs w:val="28"/>
        </w:rPr>
        <w:t>的抵押价值进行了评估。评估目的是为银行确认抵押贷款额度提供参考依据。我司与中国银行合作的复评费用收取标准如下：</w:t>
      </w:r>
    </w:p>
    <w:p>
      <w:pPr>
        <w:numPr>
          <w:ilvl w:val="0"/>
          <w:numId w:val="1"/>
        </w:numPr>
        <w:spacing w:line="500" w:lineRule="exact"/>
        <w:rPr>
          <w:rFonts w:ascii="Arial" w:hAnsi="Arial" w:eastAsia="楷体_GB2312" w:cs="Arial"/>
          <w:sz w:val="28"/>
          <w:szCs w:val="28"/>
        </w:rPr>
      </w:pPr>
      <w:r>
        <w:rPr>
          <w:rFonts w:ascii="Arial" w:hAnsi="Arial" w:eastAsia="楷体_GB2312" w:cs="Arial"/>
          <w:sz w:val="28"/>
          <w:szCs w:val="28"/>
        </w:rPr>
        <w:t>抵押类住宅类评估项目：收费150/套；</w:t>
      </w:r>
    </w:p>
    <w:p>
      <w:pPr>
        <w:numPr>
          <w:ilvl w:val="0"/>
          <w:numId w:val="1"/>
        </w:numPr>
        <w:spacing w:line="500" w:lineRule="exact"/>
        <w:rPr>
          <w:rFonts w:ascii="Arial" w:hAnsi="Arial" w:eastAsia="楷体_GB2312" w:cs="Arial"/>
          <w:sz w:val="28"/>
          <w:szCs w:val="28"/>
        </w:rPr>
      </w:pPr>
      <w:r>
        <w:rPr>
          <w:rFonts w:ascii="Arial" w:hAnsi="Arial" w:eastAsia="楷体_GB2312" w:cs="Arial"/>
          <w:sz w:val="28"/>
          <w:szCs w:val="28"/>
        </w:rPr>
        <w:t>抵押类别墅（含四合院）类项目：收费500/栋；</w:t>
      </w:r>
    </w:p>
    <w:p>
      <w:pPr>
        <w:numPr>
          <w:ilvl w:val="0"/>
          <w:numId w:val="1"/>
        </w:numPr>
        <w:spacing w:line="500" w:lineRule="exact"/>
        <w:rPr>
          <w:rFonts w:ascii="Arial" w:hAnsi="Arial" w:eastAsia="楷体_GB2312" w:cs="Arial"/>
          <w:sz w:val="28"/>
          <w:szCs w:val="28"/>
        </w:rPr>
      </w:pPr>
      <w:r>
        <w:rPr>
          <w:rFonts w:ascii="Arial" w:hAnsi="Arial" w:eastAsia="楷体_GB2312" w:cs="Arial"/>
          <w:sz w:val="28"/>
          <w:szCs w:val="28"/>
        </w:rPr>
        <w:t>非住宅类（含住宅开发贷款）评估项目：收费按国家标准的1.</w:t>
      </w:r>
      <w:r>
        <w:rPr>
          <w:rFonts w:hint="eastAsia" w:ascii="Arial" w:hAnsi="Arial" w:eastAsia="楷体_GB2312" w:cs="Arial"/>
          <w:sz w:val="28"/>
          <w:szCs w:val="28"/>
        </w:rPr>
        <w:t>5</w:t>
      </w:r>
      <w:r>
        <w:rPr>
          <w:rFonts w:ascii="Arial" w:hAnsi="Arial" w:eastAsia="楷体_GB2312" w:cs="Arial"/>
          <w:sz w:val="28"/>
          <w:szCs w:val="28"/>
        </w:rPr>
        <w:t>6折。</w:t>
      </w:r>
    </w:p>
    <w:p>
      <w:pPr>
        <w:spacing w:line="500" w:lineRule="exact"/>
        <w:ind w:firstLine="560" w:firstLineChars="200"/>
        <w:rPr>
          <w:rFonts w:ascii="Arial" w:hAnsi="Arial" w:eastAsia="楷体_GB2312" w:cs="Arial"/>
          <w:sz w:val="28"/>
          <w:szCs w:val="28"/>
        </w:rPr>
      </w:pPr>
      <w:r>
        <w:rPr>
          <w:rFonts w:ascii="Arial" w:hAnsi="Arial" w:eastAsia="楷体_GB2312" w:cs="Arial"/>
          <w:sz w:val="28"/>
          <w:szCs w:val="28"/>
        </w:rPr>
        <w:t>本次评估价值</w:t>
      </w:r>
      <w:r>
        <w:rPr>
          <w:rFonts w:hint="eastAsia" w:ascii="Arial" w:hAnsi="Arial" w:eastAsia="楷体_GB2312" w:cs="Arial"/>
          <w:sz w:val="28"/>
          <w:szCs w:val="28"/>
        </w:rPr>
        <w:t>及收费标准如下：</w:t>
      </w:r>
    </w:p>
    <w:tbl>
      <w:tblPr>
        <w:tblStyle w:val="6"/>
        <w:tblW w:w="929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2418"/>
        <w:gridCol w:w="3255"/>
        <w:gridCol w:w="849"/>
        <w:gridCol w:w="992"/>
        <w:gridCol w:w="100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2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评估编号</w:t>
            </w:r>
          </w:p>
        </w:tc>
        <w:tc>
          <w:tcPr>
            <w:tcW w:w="3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8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用途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评估值（万元）</w:t>
            </w:r>
          </w:p>
        </w:tc>
        <w:tc>
          <w:tcPr>
            <w:tcW w:w="1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收费金额（元）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2023-1-0122-P0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DYGJ2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北京市海淀区花园东路15号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eastAsia="zh-CN"/>
              </w:rPr>
              <w:t>“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旷怡大厦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eastAsia="zh-CN"/>
              </w:rPr>
              <w:t>”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10层21001公建用房房地产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公建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499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1868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2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2023-1-0122-P0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DYGJ2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北京市海淀区花园东路15号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eastAsia="zh-CN"/>
              </w:rPr>
              <w:t>“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旷怡大厦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eastAsia="zh-CN"/>
              </w:rPr>
              <w:t>”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10层2100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公建用房房地产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公建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default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626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default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2265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2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2023-1-0122-P0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DYGJ2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北京市海淀区花园东路15号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eastAsia="zh-CN"/>
              </w:rPr>
              <w:t>“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旷怡大厦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eastAsia="zh-CN"/>
              </w:rPr>
              <w:t>”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10层2100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公建用房房地产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公建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default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626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default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2265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2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2023-1-0122-P0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DYGJ2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北京市海淀区花园东路15号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eastAsia="zh-CN"/>
              </w:rPr>
              <w:t>“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旷怡大厦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eastAsia="zh-CN"/>
              </w:rPr>
              <w:t>”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10层2100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公建用房房地产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公建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673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default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2411</w:t>
            </w:r>
          </w:p>
        </w:tc>
      </w:tr>
      <w:tr>
        <w:trPr>
          <w:trHeight w:val="402" w:hRule="atLeast"/>
          <w:jc w:val="center"/>
        </w:trPr>
        <w:tc>
          <w:tcPr>
            <w:tcW w:w="7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2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2023-1-0122-P0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DYGJ2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北京市海淀区花园东路15号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eastAsia="zh-CN"/>
              </w:rPr>
              <w:t>“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旷怡大厦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eastAsia="zh-CN"/>
              </w:rPr>
              <w:t>”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10层2100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公建用房房地产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公建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704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default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2508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7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2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2023-1-0122-P0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DYGJ2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北京市海淀区花园东路15号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eastAsia="zh-CN"/>
              </w:rPr>
              <w:t>“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旷怡大厦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eastAsia="zh-CN"/>
              </w:rPr>
              <w:t>”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10层2100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7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公建用房房地产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公建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631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2280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319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Arial" w:hAnsi="Arial" w:cs="Arial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509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Arial" w:hAnsi="Arial" w:cs="Arial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kern w:val="0"/>
                <w:sz w:val="20"/>
                <w:szCs w:val="20"/>
              </w:rPr>
              <w:t>——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default" w:ascii="Arial" w:hAnsi="Arial" w:eastAsia="宋体" w:cs="Arial"/>
                <w:b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color w:val="000000"/>
                <w:kern w:val="0"/>
                <w:sz w:val="20"/>
                <w:szCs w:val="20"/>
                <w:lang w:val="en-US" w:eastAsia="zh-CN"/>
              </w:rPr>
              <w:t>13597</w:t>
            </w:r>
          </w:p>
        </w:tc>
      </w:tr>
    </w:tbl>
    <w:p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楷体_GB2312" w:cs="Arial"/>
          <w:sz w:val="28"/>
          <w:szCs w:val="28"/>
        </w:rPr>
        <w:t>特此说明</w:t>
      </w:r>
    </w:p>
    <w:p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</w:p>
    <w:p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</w:p>
    <w:p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</w:p>
    <w:p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</w:p>
    <w:p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</w:p>
    <w:p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</w:p>
    <w:p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</w:p>
    <w:p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公司账户信息</w:t>
      </w:r>
    </w:p>
    <w:p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公  司 名 称：北京康正宏基房地产评估有限公司</w:t>
      </w:r>
    </w:p>
    <w:p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纳税人识别号：91110106722616974K</w:t>
      </w:r>
    </w:p>
    <w:p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开   户   行：交通银行北京和平里支行</w:t>
      </w:r>
    </w:p>
    <w:p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账        号：110060739012015026873</w:t>
      </w:r>
    </w:p>
    <w:p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地        址：北京市丰台区芳城园一区16号楼2层2门配套公建01</w:t>
      </w:r>
    </w:p>
    <w:p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电        话：82253558</w:t>
      </w:r>
    </w:p>
    <w:p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</w:p>
    <w:p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bookmarkStart w:id="0" w:name="_GoBack"/>
      <w:bookmarkEnd w:id="0"/>
    </w:p>
    <w:p>
      <w:pPr>
        <w:spacing w:line="500" w:lineRule="exact"/>
        <w:ind w:firstLine="4060" w:firstLineChars="1450"/>
        <w:rPr>
          <w:rFonts w:ascii="Arial" w:hAnsi="Arial" w:eastAsia="楷体_GB2312" w:cs="Arial"/>
          <w:sz w:val="28"/>
          <w:szCs w:val="28"/>
        </w:rPr>
      </w:pPr>
      <w:r>
        <w:rPr>
          <w:rFonts w:ascii="Arial" w:hAnsi="Arial" w:eastAsia="楷体_GB2312" w:cs="Arial"/>
          <w:sz w:val="28"/>
          <w:szCs w:val="28"/>
        </w:rPr>
        <w:t>北京康正宏基房地产评估有限公司</w:t>
      </w:r>
    </w:p>
    <w:p>
      <w:pPr>
        <w:spacing w:line="500" w:lineRule="exact"/>
        <w:ind w:firstLine="560" w:firstLineChars="200"/>
        <w:rPr>
          <w:rFonts w:hint="eastAsia" w:ascii="Arial" w:hAnsi="Arial" w:eastAsia="楷体_GB2312" w:cs="Arial"/>
          <w:sz w:val="28"/>
          <w:szCs w:val="28"/>
          <w:lang w:eastAsia="zh-CN"/>
        </w:rPr>
      </w:pPr>
      <w:r>
        <w:rPr>
          <w:rFonts w:ascii="Arial" w:hAnsi="Arial" w:eastAsia="楷体_GB2312" w:cs="Arial"/>
          <w:sz w:val="28"/>
          <w:szCs w:val="28"/>
        </w:rPr>
        <w:t xml:space="preserve">                                    202</w:t>
      </w:r>
      <w:r>
        <w:rPr>
          <w:rFonts w:hint="eastAsia" w:ascii="Arial" w:hAnsi="Arial" w:eastAsia="楷体_GB2312" w:cs="Arial"/>
          <w:sz w:val="28"/>
          <w:szCs w:val="28"/>
          <w:lang w:val="en-US" w:eastAsia="zh-CN"/>
        </w:rPr>
        <w:t>3</w:t>
      </w:r>
      <w:r>
        <w:rPr>
          <w:rFonts w:hint="eastAsia" w:ascii="Arial" w:hAnsi="Arial" w:eastAsia="楷体_GB2312" w:cs="Arial"/>
          <w:sz w:val="28"/>
          <w:szCs w:val="28"/>
        </w:rPr>
        <w:t>.</w:t>
      </w:r>
      <w:r>
        <w:rPr>
          <w:rFonts w:hint="eastAsia" w:ascii="Arial" w:hAnsi="Arial" w:eastAsia="楷体_GB2312" w:cs="Arial"/>
          <w:sz w:val="28"/>
          <w:szCs w:val="28"/>
          <w:lang w:val="en-US" w:eastAsia="zh-CN"/>
        </w:rPr>
        <w:t>2</w:t>
      </w:r>
      <w:r>
        <w:rPr>
          <w:rFonts w:hint="eastAsia" w:ascii="Arial" w:hAnsi="Arial" w:eastAsia="楷体_GB2312" w:cs="Arial"/>
          <w:sz w:val="28"/>
          <w:szCs w:val="28"/>
        </w:rPr>
        <w:t>.2</w:t>
      </w:r>
      <w:r>
        <w:rPr>
          <w:rFonts w:hint="eastAsia" w:ascii="Arial" w:hAnsi="Arial" w:eastAsia="楷体_GB2312" w:cs="Arial"/>
          <w:sz w:val="28"/>
          <w:szCs w:val="28"/>
          <w:lang w:val="en-US" w:eastAsia="zh-CN"/>
        </w:rPr>
        <w:t>4</w:t>
      </w:r>
    </w:p>
    <w:sectPr>
      <w:headerReference r:id="rId3" w:type="default"/>
      <w:pgSz w:w="11906" w:h="16838"/>
      <w:pgMar w:top="851" w:right="1797" w:bottom="85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156AF2"/>
    <w:multiLevelType w:val="multilevel"/>
    <w:tmpl w:val="2F156AF2"/>
    <w:lvl w:ilvl="0" w:tentative="0">
      <w:start w:val="1"/>
      <w:numFmt w:val="decimal"/>
      <w:lvlText w:val="%1、"/>
      <w:lvlJc w:val="left"/>
      <w:pPr>
        <w:tabs>
          <w:tab w:val="left" w:pos="1280"/>
        </w:tabs>
        <w:ind w:left="128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400"/>
        </w:tabs>
        <w:ind w:left="140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820"/>
        </w:tabs>
        <w:ind w:left="1820" w:hanging="420"/>
      </w:pPr>
    </w:lvl>
    <w:lvl w:ilvl="3" w:tentative="0">
      <w:start w:val="1"/>
      <w:numFmt w:val="decimal"/>
      <w:lvlText w:val="%4."/>
      <w:lvlJc w:val="left"/>
      <w:pPr>
        <w:tabs>
          <w:tab w:val="left" w:pos="2240"/>
        </w:tabs>
        <w:ind w:left="224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660"/>
        </w:tabs>
        <w:ind w:left="266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80"/>
        </w:tabs>
        <w:ind w:left="3080" w:hanging="420"/>
      </w:pPr>
    </w:lvl>
    <w:lvl w:ilvl="6" w:tentative="0">
      <w:start w:val="1"/>
      <w:numFmt w:val="decimal"/>
      <w:lvlText w:val="%7."/>
      <w:lvlJc w:val="left"/>
      <w:pPr>
        <w:tabs>
          <w:tab w:val="left" w:pos="3500"/>
        </w:tabs>
        <w:ind w:left="350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20"/>
        </w:tabs>
        <w:ind w:left="392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40"/>
        </w:tabs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2MzJhZDllMzY3MzFiYjIzZTcxZjlhYjM0M2NmMzMifQ=="/>
  </w:docVars>
  <w:rsids>
    <w:rsidRoot w:val="00E37FDE"/>
    <w:rsid w:val="000013B1"/>
    <w:rsid w:val="000051D4"/>
    <w:rsid w:val="0001133E"/>
    <w:rsid w:val="0001398E"/>
    <w:rsid w:val="00020DF7"/>
    <w:rsid w:val="00034988"/>
    <w:rsid w:val="000568A9"/>
    <w:rsid w:val="00071275"/>
    <w:rsid w:val="00072B16"/>
    <w:rsid w:val="00074CD9"/>
    <w:rsid w:val="00093C64"/>
    <w:rsid w:val="000A1A22"/>
    <w:rsid w:val="000C121A"/>
    <w:rsid w:val="000C6019"/>
    <w:rsid w:val="000D2396"/>
    <w:rsid w:val="000D41E7"/>
    <w:rsid w:val="000E25A8"/>
    <w:rsid w:val="0011034A"/>
    <w:rsid w:val="00123F90"/>
    <w:rsid w:val="001346D7"/>
    <w:rsid w:val="00140319"/>
    <w:rsid w:val="001520E9"/>
    <w:rsid w:val="00154ED8"/>
    <w:rsid w:val="00164560"/>
    <w:rsid w:val="00181EED"/>
    <w:rsid w:val="00195E8A"/>
    <w:rsid w:val="00204C1D"/>
    <w:rsid w:val="0021736D"/>
    <w:rsid w:val="00230DF0"/>
    <w:rsid w:val="00237535"/>
    <w:rsid w:val="00242F8A"/>
    <w:rsid w:val="00250EEF"/>
    <w:rsid w:val="00270F08"/>
    <w:rsid w:val="002715AE"/>
    <w:rsid w:val="00272EC4"/>
    <w:rsid w:val="002777F4"/>
    <w:rsid w:val="002915D8"/>
    <w:rsid w:val="002918E8"/>
    <w:rsid w:val="002C0395"/>
    <w:rsid w:val="002D2166"/>
    <w:rsid w:val="002F368F"/>
    <w:rsid w:val="002F4CF8"/>
    <w:rsid w:val="003234C6"/>
    <w:rsid w:val="003335BD"/>
    <w:rsid w:val="00340D93"/>
    <w:rsid w:val="0034593A"/>
    <w:rsid w:val="003B370D"/>
    <w:rsid w:val="003D3FA7"/>
    <w:rsid w:val="003D7D6C"/>
    <w:rsid w:val="004026CF"/>
    <w:rsid w:val="00410BC2"/>
    <w:rsid w:val="00412FD4"/>
    <w:rsid w:val="00413D00"/>
    <w:rsid w:val="004228FA"/>
    <w:rsid w:val="004433CD"/>
    <w:rsid w:val="004464DD"/>
    <w:rsid w:val="00465A0D"/>
    <w:rsid w:val="004674B8"/>
    <w:rsid w:val="004828FF"/>
    <w:rsid w:val="00482A09"/>
    <w:rsid w:val="004872D6"/>
    <w:rsid w:val="004A69EE"/>
    <w:rsid w:val="004B2865"/>
    <w:rsid w:val="004C458A"/>
    <w:rsid w:val="004C7009"/>
    <w:rsid w:val="005176FC"/>
    <w:rsid w:val="00517A24"/>
    <w:rsid w:val="00522A44"/>
    <w:rsid w:val="005259FC"/>
    <w:rsid w:val="005345AD"/>
    <w:rsid w:val="005372EC"/>
    <w:rsid w:val="0055247E"/>
    <w:rsid w:val="00553563"/>
    <w:rsid w:val="00561A43"/>
    <w:rsid w:val="00572D40"/>
    <w:rsid w:val="005773EF"/>
    <w:rsid w:val="005956A5"/>
    <w:rsid w:val="005A4ADE"/>
    <w:rsid w:val="005C7470"/>
    <w:rsid w:val="0060768F"/>
    <w:rsid w:val="00607E52"/>
    <w:rsid w:val="00642802"/>
    <w:rsid w:val="00674B4B"/>
    <w:rsid w:val="006A01FE"/>
    <w:rsid w:val="006A51DE"/>
    <w:rsid w:val="006B081E"/>
    <w:rsid w:val="006E4282"/>
    <w:rsid w:val="006F3C69"/>
    <w:rsid w:val="00713BC6"/>
    <w:rsid w:val="0072020A"/>
    <w:rsid w:val="00721478"/>
    <w:rsid w:val="007259CF"/>
    <w:rsid w:val="007362E2"/>
    <w:rsid w:val="00737339"/>
    <w:rsid w:val="00737348"/>
    <w:rsid w:val="0075047B"/>
    <w:rsid w:val="00785B42"/>
    <w:rsid w:val="007E364F"/>
    <w:rsid w:val="007E3F63"/>
    <w:rsid w:val="007E7DDF"/>
    <w:rsid w:val="007F55F6"/>
    <w:rsid w:val="008962E0"/>
    <w:rsid w:val="008A1D84"/>
    <w:rsid w:val="008C04CB"/>
    <w:rsid w:val="008C2E1F"/>
    <w:rsid w:val="008D3D2D"/>
    <w:rsid w:val="008E1996"/>
    <w:rsid w:val="008F47B5"/>
    <w:rsid w:val="00901004"/>
    <w:rsid w:val="0090272A"/>
    <w:rsid w:val="009137FC"/>
    <w:rsid w:val="00924792"/>
    <w:rsid w:val="009352F7"/>
    <w:rsid w:val="00940191"/>
    <w:rsid w:val="0095055B"/>
    <w:rsid w:val="00953A0E"/>
    <w:rsid w:val="00961DA2"/>
    <w:rsid w:val="009743E8"/>
    <w:rsid w:val="009767A8"/>
    <w:rsid w:val="009A5D4C"/>
    <w:rsid w:val="009B2AC6"/>
    <w:rsid w:val="00A10E58"/>
    <w:rsid w:val="00A116B6"/>
    <w:rsid w:val="00A516DA"/>
    <w:rsid w:val="00A7396F"/>
    <w:rsid w:val="00A95F32"/>
    <w:rsid w:val="00AA296D"/>
    <w:rsid w:val="00AA370B"/>
    <w:rsid w:val="00AB631A"/>
    <w:rsid w:val="00AD231A"/>
    <w:rsid w:val="00B01636"/>
    <w:rsid w:val="00B2782E"/>
    <w:rsid w:val="00B279E3"/>
    <w:rsid w:val="00B67DA8"/>
    <w:rsid w:val="00B75677"/>
    <w:rsid w:val="00B84F89"/>
    <w:rsid w:val="00BA12EF"/>
    <w:rsid w:val="00BB1F61"/>
    <w:rsid w:val="00BC2015"/>
    <w:rsid w:val="00BC276F"/>
    <w:rsid w:val="00BC6506"/>
    <w:rsid w:val="00BD51EB"/>
    <w:rsid w:val="00BF49ED"/>
    <w:rsid w:val="00C20136"/>
    <w:rsid w:val="00C25DAF"/>
    <w:rsid w:val="00C266D9"/>
    <w:rsid w:val="00C3029C"/>
    <w:rsid w:val="00C867F8"/>
    <w:rsid w:val="00C94EAF"/>
    <w:rsid w:val="00CC231B"/>
    <w:rsid w:val="00CC72CC"/>
    <w:rsid w:val="00CF2532"/>
    <w:rsid w:val="00D402CE"/>
    <w:rsid w:val="00D43DEC"/>
    <w:rsid w:val="00D50D84"/>
    <w:rsid w:val="00D92CDF"/>
    <w:rsid w:val="00DC362A"/>
    <w:rsid w:val="00DC5253"/>
    <w:rsid w:val="00DD455E"/>
    <w:rsid w:val="00DF200C"/>
    <w:rsid w:val="00E12B49"/>
    <w:rsid w:val="00E138CC"/>
    <w:rsid w:val="00E3219B"/>
    <w:rsid w:val="00E37FDE"/>
    <w:rsid w:val="00E62479"/>
    <w:rsid w:val="00E625AA"/>
    <w:rsid w:val="00E80BCA"/>
    <w:rsid w:val="00E9709A"/>
    <w:rsid w:val="00EA7FC4"/>
    <w:rsid w:val="00EB39A7"/>
    <w:rsid w:val="00EB7759"/>
    <w:rsid w:val="00EC45F0"/>
    <w:rsid w:val="00EE1019"/>
    <w:rsid w:val="00EE7720"/>
    <w:rsid w:val="00F160F7"/>
    <w:rsid w:val="00F33E43"/>
    <w:rsid w:val="00F36EB5"/>
    <w:rsid w:val="00F37CEB"/>
    <w:rsid w:val="00F44440"/>
    <w:rsid w:val="00F5770C"/>
    <w:rsid w:val="00F93DEA"/>
    <w:rsid w:val="00F961DA"/>
    <w:rsid w:val="00F97814"/>
    <w:rsid w:val="00FC17B6"/>
    <w:rsid w:val="00FC425A"/>
    <w:rsid w:val="00FC5624"/>
    <w:rsid w:val="13D4074C"/>
    <w:rsid w:val="14266BFC"/>
    <w:rsid w:val="79600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 w:locked="1"/>
    <w:lsdException w:uiPriority="0" w:name="toc 2" w:locked="1"/>
    <w:lsdException w:uiPriority="0" w:name="toc 3" w:locked="1"/>
    <w:lsdException w:uiPriority="0" w:name="toc 4" w:locked="1"/>
    <w:lsdException w:uiPriority="0" w:name="toc 5" w:locked="1"/>
    <w:lsdException w:uiPriority="0" w:name="toc 6" w:locked="1"/>
    <w:lsdException w:uiPriority="0" w:name="toc 7" w:locked="1"/>
    <w:lsdException w:uiPriority="0" w:name="toc 8" w:locked="1"/>
    <w:lsdException w:uiPriority="0" w:name="toc 9" w:locked="1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 w:locked="1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  <w:style w:type="character" w:customStyle="1" w:styleId="8">
    <w:name w:val="批注框文本 Char"/>
    <w:link w:val="2"/>
    <w:semiHidden/>
    <w:locked/>
    <w:uiPriority w:val="0"/>
    <w:rPr>
      <w:rFonts w:cs="Times New Roman"/>
      <w:sz w:val="2"/>
    </w:rPr>
  </w:style>
  <w:style w:type="character" w:customStyle="1" w:styleId="9">
    <w:name w:val="页眉 Char"/>
    <w:link w:val="4"/>
    <w:qFormat/>
    <w:locked/>
    <w:uiPriority w:val="0"/>
    <w:rPr>
      <w:rFonts w:cs="Times New Roman"/>
      <w:kern w:val="2"/>
      <w:sz w:val="18"/>
      <w:szCs w:val="18"/>
    </w:rPr>
  </w:style>
  <w:style w:type="character" w:customStyle="1" w:styleId="10">
    <w:name w:val="页脚 Char"/>
    <w:link w:val="3"/>
    <w:locked/>
    <w:uiPriority w:val="0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KZ</Company>
  <Pages>1</Pages>
  <Words>93</Words>
  <Characters>532</Characters>
  <Lines>4</Lines>
  <Paragraphs>1</Paragraphs>
  <TotalTime>7</TotalTime>
  <ScaleCrop>false</ScaleCrop>
  <LinksUpToDate>false</LinksUpToDate>
  <CharactersWithSpaces>624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2022-06-24T05:49:00Z</dcterms:created>
  <dc:creator>欧红伟</dc:creator>
  <cp:lastModifiedBy>李斌</cp:lastModifiedBy>
  <cp:lastPrinted>2022-06-24T08:33:00Z</cp:lastPrinted>
  <dcterms:modified xsi:type="dcterms:W3CDTF">2023-02-23T09:24:12Z</dcterms:modified>
  <dc:title>关于“隆福广场”评估报告评估费收费收费说明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6B7845B7815E444FA5BF74325A3D98A0</vt:lpwstr>
  </property>
</Properties>
</file>