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57055">
      <w:pPr>
        <w:spacing w:line="300" w:lineRule="exact"/>
        <w:rPr>
          <w:rFonts w:ascii="Arial" w:hAnsi="Arial"/>
        </w:rPr>
      </w:pPr>
    </w:p>
    <w:p w14:paraId="5AAEB12A">
      <w:pPr>
        <w:spacing w:line="300" w:lineRule="exact"/>
        <w:rPr>
          <w:rFonts w:ascii="Arial" w:hAnsi="Arial"/>
        </w:rPr>
      </w:pPr>
    </w:p>
    <w:p w14:paraId="46203674">
      <w:pPr>
        <w:spacing w:line="300" w:lineRule="exact"/>
        <w:rPr>
          <w:rFonts w:ascii="Arial" w:hAnsi="Arial"/>
        </w:rPr>
      </w:pPr>
    </w:p>
    <w:p w14:paraId="54F11A29">
      <w:pPr>
        <w:spacing w:line="300" w:lineRule="exact"/>
        <w:rPr>
          <w:rFonts w:ascii="Arial" w:hAnsi="Arial"/>
        </w:rPr>
      </w:pPr>
    </w:p>
    <w:p w14:paraId="3F076ED8">
      <w:pPr>
        <w:spacing w:line="300" w:lineRule="exact"/>
        <w:rPr>
          <w:rFonts w:ascii="Arial" w:hAnsi="Arial"/>
        </w:rPr>
      </w:pPr>
    </w:p>
    <w:p w14:paraId="21C85DF7">
      <w:pPr>
        <w:spacing w:line="300" w:lineRule="exact"/>
        <w:rPr>
          <w:rFonts w:ascii="Arial" w:hAnsi="Arial"/>
        </w:rPr>
      </w:pPr>
    </w:p>
    <w:p w14:paraId="5ED320A8">
      <w:pPr>
        <w:spacing w:line="300" w:lineRule="exact"/>
        <w:rPr>
          <w:rFonts w:ascii="Arial" w:hAnsi="Arial"/>
        </w:rPr>
      </w:pPr>
    </w:p>
    <w:p w14:paraId="0BCDD77C">
      <w:pPr>
        <w:spacing w:line="300" w:lineRule="exact"/>
        <w:rPr>
          <w:rFonts w:ascii="Arial" w:hAnsi="Arial"/>
        </w:rPr>
      </w:pPr>
    </w:p>
    <w:p w14:paraId="6D02E203">
      <w:pPr>
        <w:spacing w:line="300" w:lineRule="exact"/>
        <w:rPr>
          <w:rFonts w:ascii="Arial" w:hAnsi="Arial"/>
        </w:rPr>
      </w:pPr>
    </w:p>
    <w:p w14:paraId="4520F831">
      <w:pPr>
        <w:spacing w:line="300" w:lineRule="exact"/>
        <w:rPr>
          <w:rFonts w:ascii="Arial" w:hAnsi="Arial"/>
        </w:rPr>
      </w:pPr>
    </w:p>
    <w:p w14:paraId="20343E84">
      <w:pPr>
        <w:spacing w:line="300" w:lineRule="exact"/>
        <w:rPr>
          <w:rFonts w:ascii="Arial" w:hAnsi="Arial"/>
        </w:rPr>
      </w:pPr>
    </w:p>
    <w:p w14:paraId="523633DB">
      <w:pPr>
        <w:spacing w:line="300" w:lineRule="exact"/>
        <w:rPr>
          <w:rFonts w:ascii="Arial" w:hAnsi="Arial"/>
        </w:rPr>
      </w:pPr>
    </w:p>
    <w:p w14:paraId="50EDFF4B">
      <w:pPr>
        <w:spacing w:line="300" w:lineRule="exact"/>
        <w:rPr>
          <w:rFonts w:ascii="Arial" w:hAnsi="Arial"/>
        </w:rPr>
      </w:pPr>
    </w:p>
    <w:p w14:paraId="57048FAF">
      <w:pPr>
        <w:spacing w:line="300" w:lineRule="exact"/>
        <w:rPr>
          <w:rFonts w:ascii="Arial" w:hAnsi="Arial"/>
        </w:rPr>
      </w:pPr>
    </w:p>
    <w:p w14:paraId="67BC68DD">
      <w:pPr>
        <w:spacing w:line="300" w:lineRule="exact"/>
        <w:rPr>
          <w:rFonts w:ascii="Arial" w:hAnsi="Arial"/>
        </w:rPr>
      </w:pPr>
    </w:p>
    <w:p w14:paraId="5536483B">
      <w:pPr>
        <w:spacing w:line="300" w:lineRule="exact"/>
        <w:rPr>
          <w:rFonts w:ascii="Arial" w:hAnsi="Arial"/>
        </w:rPr>
      </w:pPr>
    </w:p>
    <w:p w14:paraId="72822F75">
      <w:pPr>
        <w:spacing w:line="300" w:lineRule="exact"/>
        <w:rPr>
          <w:rFonts w:ascii="Arial" w:hAnsi="Arial"/>
        </w:rPr>
      </w:pPr>
    </w:p>
    <w:p w14:paraId="789B6B52">
      <w:pPr>
        <w:spacing w:line="300" w:lineRule="exact"/>
        <w:rPr>
          <w:rFonts w:ascii="Arial" w:hAnsi="Arial"/>
        </w:rPr>
      </w:pPr>
    </w:p>
    <w:p w14:paraId="2F3B5424">
      <w:pPr>
        <w:spacing w:line="300" w:lineRule="exact"/>
        <w:rPr>
          <w:rFonts w:ascii="Arial" w:hAnsi="Arial"/>
        </w:rPr>
      </w:pPr>
    </w:p>
    <w:p w14:paraId="2E48F4C0">
      <w:pPr>
        <w:spacing w:line="300" w:lineRule="exact"/>
        <w:rPr>
          <w:rFonts w:ascii="Arial" w:hAnsi="Arial"/>
        </w:rPr>
      </w:pPr>
    </w:p>
    <w:p w14:paraId="3E64AF5F">
      <w:pPr>
        <w:spacing w:line="300" w:lineRule="exact"/>
        <w:rPr>
          <w:rFonts w:ascii="Arial" w:hAnsi="Arial"/>
        </w:rPr>
      </w:pPr>
    </w:p>
    <w:p w14:paraId="2AFA15D9">
      <w:pPr>
        <w:spacing w:line="300" w:lineRule="exact"/>
        <w:rPr>
          <w:rFonts w:ascii="Arial" w:hAnsi="Arial"/>
        </w:rPr>
      </w:pPr>
    </w:p>
    <w:p w14:paraId="724F5149">
      <w:pPr>
        <w:spacing w:line="300" w:lineRule="exact"/>
        <w:rPr>
          <w:rFonts w:ascii="Arial" w:hAnsi="Arial"/>
        </w:rPr>
      </w:pPr>
    </w:p>
    <w:p w14:paraId="79DF914A">
      <w:pPr>
        <w:spacing w:line="300" w:lineRule="exact"/>
        <w:rPr>
          <w:rFonts w:ascii="Arial" w:hAnsi="Arial"/>
        </w:rPr>
      </w:pPr>
    </w:p>
    <w:p w14:paraId="08A19B16">
      <w:pPr>
        <w:spacing w:line="300" w:lineRule="exact"/>
        <w:rPr>
          <w:rFonts w:ascii="Arial" w:hAnsi="Arial"/>
        </w:rPr>
      </w:pPr>
    </w:p>
    <w:p w14:paraId="58C0EDC0">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636D1DC3">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北京市大兴区采育数字时尚小镇（育新花园）项目同地段、同品质市场租赁住房租金评估</w:t>
      </w:r>
    </w:p>
    <w:p w14:paraId="788C81F6">
      <w:pPr>
        <w:spacing w:line="300" w:lineRule="exact"/>
        <w:rPr>
          <w:rFonts w:ascii="Arial" w:hAnsi="Arial" w:eastAsia="方正黑体简体" w:cs="Arial"/>
          <w:b/>
          <w:bCs/>
          <w:sz w:val="21"/>
          <w:szCs w:val="21"/>
        </w:rPr>
      </w:pPr>
    </w:p>
    <w:p w14:paraId="76DC8520">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36CB6D70">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北京市大兴区保障性住房建设投资有限公司</w:t>
      </w:r>
    </w:p>
    <w:p w14:paraId="4C9F243E">
      <w:pPr>
        <w:spacing w:line="300" w:lineRule="exact"/>
        <w:ind w:left="360"/>
        <w:jc w:val="both"/>
        <w:rPr>
          <w:rFonts w:ascii="Arial" w:hAnsi="Arial" w:eastAsia="方正黑体简体" w:cs="Arial"/>
          <w:sz w:val="21"/>
          <w:szCs w:val="21"/>
        </w:rPr>
      </w:pPr>
    </w:p>
    <w:p w14:paraId="03DB7954">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75F63F26">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3566DD7D">
      <w:pPr>
        <w:spacing w:line="300" w:lineRule="exact"/>
        <w:jc w:val="both"/>
        <w:rPr>
          <w:rFonts w:ascii="Arial" w:hAnsi="Arial" w:eastAsia="方正黑体简体" w:cs="Arial"/>
          <w:b/>
          <w:sz w:val="21"/>
          <w:szCs w:val="21"/>
        </w:rPr>
      </w:pPr>
    </w:p>
    <w:p w14:paraId="09D7BE42">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7A90330E">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63ACF237">
      <w:pPr>
        <w:spacing w:line="300" w:lineRule="exact"/>
        <w:jc w:val="both"/>
        <w:rPr>
          <w:rFonts w:ascii="Arial" w:hAnsi="Arial" w:eastAsia="方正黑体简体" w:cs="Arial"/>
          <w:b/>
          <w:sz w:val="21"/>
          <w:szCs w:val="21"/>
        </w:rPr>
      </w:pPr>
    </w:p>
    <w:p w14:paraId="58497381">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1DA87E77">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3</w:t>
      </w:r>
      <w:r>
        <w:rPr>
          <w:rFonts w:ascii="Arial" w:hAnsi="Arial" w:eastAsia="方正黑体简体" w:cs="Arial"/>
          <w:sz w:val="21"/>
          <w:szCs w:val="21"/>
        </w:rPr>
        <w:t>月</w:t>
      </w:r>
      <w:r>
        <w:rPr>
          <w:rFonts w:hint="eastAsia" w:ascii="Arial" w:hAnsi="Arial" w:eastAsia="方正黑体简体" w:cs="Arial"/>
          <w:sz w:val="21"/>
          <w:szCs w:val="21"/>
        </w:rPr>
        <w:t>6</w:t>
      </w:r>
      <w:r>
        <w:rPr>
          <w:rFonts w:ascii="Arial" w:hAnsi="Arial" w:eastAsia="方正黑体简体" w:cs="Arial"/>
          <w:sz w:val="21"/>
          <w:szCs w:val="21"/>
        </w:rPr>
        <w:t>日</w:t>
      </w:r>
    </w:p>
    <w:p w14:paraId="7DBA780F">
      <w:pPr>
        <w:spacing w:line="300" w:lineRule="exact"/>
        <w:jc w:val="both"/>
        <w:rPr>
          <w:rFonts w:ascii="Arial" w:hAnsi="Arial" w:eastAsia="方正黑体简体" w:cs="Arial"/>
          <w:b/>
          <w:sz w:val="21"/>
          <w:szCs w:val="21"/>
        </w:rPr>
      </w:pPr>
    </w:p>
    <w:p w14:paraId="6C988900">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5F8D3972">
      <w:pPr>
        <w:spacing w:line="300" w:lineRule="exact"/>
        <w:ind w:left="360"/>
        <w:jc w:val="both"/>
        <w:rPr>
          <w:rFonts w:ascii="Arial" w:hAnsi="Arial" w:eastAsia="方正黑体简体" w:cs="Arial"/>
          <w:sz w:val="21"/>
          <w:szCs w:val="21"/>
        </w:rPr>
        <w:sectPr>
          <w:headerReference r:id="rId6" w:type="first"/>
          <w:footerReference r:id="rId9" w:type="first"/>
          <w:headerReference r:id="rId5" w:type="default"/>
          <w:footerReference r:id="rId7" w:type="default"/>
          <w:footerReference r:id="rId8"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康正评字2025-1-0814-F01ZLGJ6号</w:t>
      </w:r>
    </w:p>
    <w:p w14:paraId="5BDF9459">
      <w:pPr>
        <w:pStyle w:val="2"/>
        <w:spacing w:line="480" w:lineRule="auto"/>
        <w:jc w:val="center"/>
        <w:rPr>
          <w:rFonts w:eastAsia="方正黑体简体"/>
          <w:b w:val="0"/>
          <w:kern w:val="2"/>
          <w:sz w:val="32"/>
          <w:szCs w:val="32"/>
        </w:rPr>
      </w:pPr>
      <w:bookmarkStart w:id="1" w:name="_Toc155267082"/>
      <w:bookmarkStart w:id="2" w:name="_Toc379795040"/>
      <w:bookmarkStart w:id="3" w:name="_Toc477252437"/>
      <w:r>
        <w:rPr>
          <w:rFonts w:eastAsia="方正黑体简体"/>
          <w:b w:val="0"/>
          <w:kern w:val="2"/>
          <w:sz w:val="32"/>
          <w:szCs w:val="32"/>
        </w:rPr>
        <w:t>致估价委托人函</w:t>
      </w:r>
      <w:bookmarkEnd w:id="1"/>
      <w:bookmarkEnd w:id="2"/>
      <w:bookmarkEnd w:id="3"/>
    </w:p>
    <w:p w14:paraId="4ED86C0E">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北京市大兴区保障性住房建设投资有限公司</w:t>
      </w:r>
      <w:r>
        <w:rPr>
          <w:rFonts w:ascii="Arial" w:hAnsi="Arial" w:cs="Arial"/>
          <w:b/>
          <w:bCs/>
          <w:sz w:val="21"/>
          <w:szCs w:val="21"/>
        </w:rPr>
        <w:t>：</w:t>
      </w:r>
    </w:p>
    <w:p w14:paraId="04D9B0A2">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北京市大兴区采育数字时尚小镇（育新花园）项目同地段、同品质市场租赁住房租金进行了评估。</w:t>
      </w:r>
    </w:p>
    <w:p w14:paraId="00C48BF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kern w:val="2"/>
          <w:sz w:val="21"/>
        </w:rPr>
        <w:t>为估价委托人了解估价对象房地产市场租金水平提供参考依据</w:t>
      </w:r>
      <w:r>
        <w:rPr>
          <w:rFonts w:ascii="Arial" w:hAnsi="Arial" w:cs="Arial"/>
          <w:sz w:val="21"/>
          <w:szCs w:val="21"/>
        </w:rPr>
        <w:t>。</w:t>
      </w:r>
    </w:p>
    <w:p w14:paraId="13ABC396">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w:t>
      </w:r>
      <w:r>
        <w:rPr>
          <w:rFonts w:hint="eastAsia" w:ascii="Arial" w:hAnsi="Arial" w:cs="Arial"/>
          <w:kern w:val="2"/>
          <w:sz w:val="21"/>
          <w:szCs w:val="21"/>
        </w:rPr>
        <w:t>》</w:t>
      </w:r>
      <w:r>
        <w:rPr>
          <w:rFonts w:hint="eastAsia" w:ascii="Arial" w:hAnsi="Arial" w:cs="Arial"/>
          <w:sz w:val="21"/>
          <w:szCs w:val="21"/>
        </w:rPr>
        <w:t>，估价对象为</w:t>
      </w:r>
      <w:r>
        <w:rPr>
          <w:rFonts w:hint="eastAsia" w:ascii="Arial" w:hAnsi="Arial" w:cs="Arial"/>
          <w:kern w:val="2"/>
          <w:sz w:val="21"/>
          <w:szCs w:val="21"/>
        </w:rPr>
        <w:t>北京市大兴区采育数字时尚小镇（育新花园）共计1324套住宅用房，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现由北京市大兴区保障性住房建设投资有限公司负责房源出租及运营管理。</w:t>
      </w:r>
      <w:r>
        <w:rPr>
          <w:rFonts w:hint="eastAsia" w:ascii="Arial" w:hAnsi="Arial" w:cs="Arial"/>
          <w:sz w:val="21"/>
          <w:szCs w:val="21"/>
        </w:rPr>
        <w:t>估价对象具体情况如下：</w:t>
      </w:r>
    </w:p>
    <w:p w14:paraId="37CD1DD9">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7C1255AE">
        <w:tblPrEx>
          <w:tblCellMar>
            <w:top w:w="0" w:type="dxa"/>
            <w:left w:w="108" w:type="dxa"/>
            <w:bottom w:w="0" w:type="dxa"/>
            <w:right w:w="108" w:type="dxa"/>
          </w:tblCellMar>
        </w:tblPrEx>
        <w:trPr>
          <w:trHeight w:val="276" w:hRule="atLeast"/>
          <w:tblHeader/>
        </w:trPr>
        <w:tc>
          <w:tcPr>
            <w:tcW w:w="779" w:type="dxa"/>
            <w:tcBorders>
              <w:top w:val="single" w:color="auto" w:sz="4" w:space="0"/>
              <w:left w:val="single" w:color="auto" w:sz="4" w:space="0"/>
              <w:bottom w:val="single" w:color="auto" w:sz="4" w:space="0"/>
              <w:right w:val="single" w:color="auto" w:sz="4" w:space="0"/>
            </w:tcBorders>
            <w:noWrap/>
            <w:vAlign w:val="center"/>
          </w:tcPr>
          <w:p w14:paraId="6E419300">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682125E4">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17B6C87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6B0DDC6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0E82C3EC">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4ACA5C6F">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2EB8D46E">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F79408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2C65D81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2A8EF56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43A0D92D">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3C5048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6C87527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0DB95AE1">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4383F244">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71ADCB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101920E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5876128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6D476F3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6DCC1C4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2C4CA39B">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309DB6B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0BF703C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2F39826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6EE58066">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45137B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5F9B26D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2E97CF6">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020F5EC3">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9A1B74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6128331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11CD779B">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728EA20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38A2CE5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1936DBF3">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6F700577">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7E2FBF8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02B848F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1AF183A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294459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32DBD0D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44E91FC3">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0F206DA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1EDE742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437D344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33D3D161">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28959A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165088B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7EF2389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F186AFC">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5B4B0C8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418F9E4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C8C205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5D222F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3B365F2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lang w:eastAsia="zh-CN"/>
              </w:rPr>
              <w:t>1561.82</w:t>
            </w:r>
          </w:p>
        </w:tc>
      </w:tr>
      <w:tr w14:paraId="0D7B556F">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70C30D26">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0B810E8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3ACB967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55534C0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7D12BD3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1C16FF9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2D80089A">
      <w:pPr>
        <w:widowControl/>
        <w:adjustRightInd/>
        <w:spacing w:line="240" w:lineRule="auto"/>
        <w:jc w:val="center"/>
        <w:textAlignment w:val="auto"/>
        <w:rPr>
          <w:rFonts w:ascii="华文细黑" w:hAnsi="华文细黑" w:eastAsia="华文细黑" w:cs="Arial"/>
          <w:sz w:val="18"/>
          <w:szCs w:val="18"/>
        </w:rPr>
      </w:pPr>
    </w:p>
    <w:p w14:paraId="780A571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2025年12月26日（依据《估价委托书》确定）</w:t>
      </w:r>
    </w:p>
    <w:p w14:paraId="0C872B9E">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37F785DA">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743C98AD">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项目于价值时点2025年12月26日同地段、同品质市场租赁住房租金为：</w:t>
      </w:r>
    </w:p>
    <w:p w14:paraId="11DAABF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02DA104E">
      <w:pPr>
        <w:overflowPunct w:val="0"/>
        <w:spacing w:line="480" w:lineRule="auto"/>
        <w:ind w:firstLine="422" w:firstLineChars="200"/>
        <w:jc w:val="both"/>
        <w:textAlignment w:val="auto"/>
        <w:rPr>
          <w:rFonts w:hint="eastAsia" w:ascii="Arial" w:hAnsi="Arial" w:eastAsia="宋体" w:cs="Arial"/>
          <w:b/>
          <w:bCs/>
          <w:sz w:val="21"/>
          <w:szCs w:val="21"/>
          <w:lang w:eastAsia="zh-CN"/>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w:t>
      </w:r>
      <w:r>
        <w:rPr>
          <w:rFonts w:hint="eastAsia" w:ascii="Arial" w:hAnsi="Arial" w:cs="Arial"/>
          <w:b/>
          <w:bCs/>
          <w:sz w:val="21"/>
          <w:szCs w:val="21"/>
          <w:lang w:eastAsia="zh-CN"/>
        </w:rPr>
        <w:t>17.38元/平方米·月</w:t>
      </w:r>
    </w:p>
    <w:p w14:paraId="6BED92F1">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2DCC8477">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综合租金</w:t>
      </w:r>
      <w:r>
        <w:rPr>
          <w:rFonts w:hint="eastAsia" w:ascii="Arial" w:hAnsi="Arial" w:cs="Arial"/>
          <w:b/>
          <w:bCs/>
          <w:sz w:val="21"/>
          <w:szCs w:val="21"/>
          <w:lang w:eastAsia="zh-CN"/>
        </w:rPr>
        <w:t>：</w:t>
      </w:r>
      <w:r>
        <w:rPr>
          <w:rFonts w:hint="eastAsia" w:ascii="Arial" w:hAnsi="Arial" w:cs="Arial"/>
          <w:b/>
          <w:bCs/>
          <w:sz w:val="21"/>
          <w:szCs w:val="21"/>
        </w:rPr>
        <w:t>18.</w:t>
      </w:r>
      <w:r>
        <w:rPr>
          <w:rFonts w:hint="eastAsia" w:ascii="Arial" w:hAnsi="Arial" w:cs="Arial"/>
          <w:b/>
          <w:bCs/>
          <w:sz w:val="21"/>
          <w:szCs w:val="21"/>
          <w:lang w:val="en-US" w:eastAsia="zh-CN"/>
        </w:rPr>
        <w:t>33</w:t>
      </w:r>
      <w:r>
        <w:rPr>
          <w:rFonts w:hint="eastAsia" w:ascii="Arial" w:hAnsi="Arial" w:cs="Arial"/>
          <w:b/>
          <w:bCs/>
          <w:sz w:val="21"/>
          <w:szCs w:val="21"/>
        </w:rPr>
        <w:t>元/平方米·月</w:t>
      </w:r>
    </w:p>
    <w:p w14:paraId="43A95D6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33B3EE19">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同时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22D81EE2">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（转下页）</w:t>
      </w:r>
    </w:p>
    <w:p w14:paraId="475E51EA">
      <w:pPr>
        <w:rPr>
          <w:rFonts w:ascii="华文楷体" w:hAnsi="华文楷体" w:eastAsia="华文楷体" w:cs="华文楷体"/>
          <w:sz w:val="21"/>
          <w:szCs w:val="21"/>
        </w:rPr>
      </w:pPr>
      <w:r>
        <w:rPr>
          <w:rFonts w:hint="eastAsia" w:ascii="华文楷体" w:hAnsi="华文楷体" w:eastAsia="华文楷体" w:cs="华文楷体"/>
          <w:sz w:val="21"/>
          <w:szCs w:val="21"/>
        </w:rPr>
        <w:br w:type="page"/>
      </w:r>
    </w:p>
    <w:p w14:paraId="7F197952">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0EBCE2A7">
      <w:pPr>
        <w:overflowPunct w:val="0"/>
        <w:spacing w:line="480" w:lineRule="auto"/>
        <w:ind w:firstLine="420" w:firstLineChars="200"/>
        <w:jc w:val="both"/>
        <w:textAlignment w:val="auto"/>
        <w:rPr>
          <w:rFonts w:ascii="华文楷体" w:hAnsi="华文楷体" w:eastAsia="华文楷体" w:cs="华文楷体"/>
          <w:sz w:val="21"/>
          <w:szCs w:val="21"/>
        </w:rPr>
      </w:pPr>
    </w:p>
    <w:p w14:paraId="1B8FC6C9">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0375DF5">
      <w:pPr>
        <w:overflowPunct w:val="0"/>
        <w:spacing w:line="480" w:lineRule="auto"/>
        <w:ind w:firstLine="420" w:firstLineChars="200"/>
        <w:jc w:val="both"/>
        <w:textAlignment w:val="auto"/>
        <w:rPr>
          <w:rFonts w:ascii="Arial" w:hAnsi="Arial" w:cs="Arial"/>
          <w:sz w:val="21"/>
          <w:szCs w:val="21"/>
        </w:rPr>
      </w:pPr>
    </w:p>
    <w:p w14:paraId="7929DCBD">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104B67B">
        <w:tblPrEx>
          <w:tblCellMar>
            <w:top w:w="0" w:type="dxa"/>
            <w:left w:w="108" w:type="dxa"/>
            <w:bottom w:w="0" w:type="dxa"/>
            <w:right w:w="108" w:type="dxa"/>
          </w:tblCellMar>
        </w:tblPrEx>
        <w:tc>
          <w:tcPr>
            <w:tcW w:w="3402" w:type="dxa"/>
          </w:tcPr>
          <w:p w14:paraId="7A3A63BE">
            <w:pPr>
              <w:spacing w:line="480" w:lineRule="auto"/>
              <w:rPr>
                <w:rFonts w:ascii="Arial" w:hAnsi="Arial" w:cs="Arial"/>
                <w:sz w:val="21"/>
                <w:szCs w:val="21"/>
              </w:rPr>
            </w:pPr>
            <w:r>
              <w:rPr>
                <w:rFonts w:ascii="Arial" w:hAnsi="Arial" w:cs="Arial"/>
                <w:sz w:val="21"/>
                <w:szCs w:val="21"/>
              </w:rPr>
              <w:t>北京康正宏基房地产评估有限公司</w:t>
            </w:r>
          </w:p>
        </w:tc>
      </w:tr>
      <w:tr w14:paraId="35E2B765">
        <w:tblPrEx>
          <w:tblCellMar>
            <w:top w:w="0" w:type="dxa"/>
            <w:left w:w="108" w:type="dxa"/>
            <w:bottom w:w="0" w:type="dxa"/>
            <w:right w:w="108" w:type="dxa"/>
          </w:tblCellMar>
        </w:tblPrEx>
        <w:trPr>
          <w:trHeight w:val="1298" w:hRule="atLeast"/>
        </w:trPr>
        <w:tc>
          <w:tcPr>
            <w:tcW w:w="3402" w:type="dxa"/>
          </w:tcPr>
          <w:p w14:paraId="759751F2">
            <w:pPr>
              <w:spacing w:line="480" w:lineRule="auto"/>
              <w:rPr>
                <w:rFonts w:ascii="Arial" w:hAnsi="Arial" w:cs="Arial"/>
                <w:sz w:val="21"/>
                <w:szCs w:val="21"/>
              </w:rPr>
            </w:pPr>
            <w:r>
              <w:rPr>
                <w:rFonts w:ascii="Arial" w:hAnsi="Arial" w:cs="Arial"/>
                <w:sz w:val="21"/>
                <w:szCs w:val="21"/>
              </w:rPr>
              <w:t>法定代表人：</w:t>
            </w:r>
          </w:p>
        </w:tc>
      </w:tr>
      <w:tr w14:paraId="408DF13B">
        <w:tblPrEx>
          <w:tblCellMar>
            <w:top w:w="0" w:type="dxa"/>
            <w:left w:w="108" w:type="dxa"/>
            <w:bottom w:w="0" w:type="dxa"/>
            <w:right w:w="108" w:type="dxa"/>
          </w:tblCellMar>
        </w:tblPrEx>
        <w:tc>
          <w:tcPr>
            <w:tcW w:w="3402" w:type="dxa"/>
          </w:tcPr>
          <w:p w14:paraId="249A2ABA">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三</w:t>
            </w:r>
            <w:r>
              <w:rPr>
                <w:rFonts w:ascii="Arial" w:hAnsi="Arial" w:cs="Arial"/>
                <w:sz w:val="21"/>
                <w:szCs w:val="21"/>
              </w:rPr>
              <w:t>月</w:t>
            </w:r>
            <w:r>
              <w:rPr>
                <w:rFonts w:hint="eastAsia" w:ascii="Arial" w:hAnsi="Arial" w:cs="Arial"/>
                <w:sz w:val="21"/>
                <w:szCs w:val="21"/>
              </w:rPr>
              <w:t>六</w:t>
            </w:r>
            <w:r>
              <w:rPr>
                <w:rFonts w:ascii="Arial" w:hAnsi="Arial" w:cs="Arial"/>
                <w:sz w:val="21"/>
                <w:szCs w:val="21"/>
              </w:rPr>
              <w:t>日</w:t>
            </w:r>
          </w:p>
        </w:tc>
      </w:tr>
    </w:tbl>
    <w:p w14:paraId="6EBBAC6E">
      <w:pPr>
        <w:spacing w:line="480" w:lineRule="auto"/>
        <w:rPr>
          <w:rFonts w:ascii="Arial" w:hAnsi="Arial" w:cs="Arial"/>
          <w:sz w:val="21"/>
          <w:szCs w:val="21"/>
        </w:rPr>
      </w:pPr>
    </w:p>
    <w:p w14:paraId="455BC12B">
      <w:pPr>
        <w:rPr>
          <w:rFonts w:ascii="Arial" w:hAnsi="Arial" w:cs="Arial"/>
          <w:sz w:val="21"/>
          <w:szCs w:val="21"/>
        </w:rPr>
      </w:pPr>
    </w:p>
    <w:p w14:paraId="328A227C">
      <w:pPr>
        <w:rPr>
          <w:rFonts w:ascii="Arial" w:hAnsi="Arial" w:cs="Arial"/>
          <w:sz w:val="21"/>
          <w:szCs w:val="21"/>
        </w:rPr>
      </w:pPr>
    </w:p>
    <w:p w14:paraId="4764285A">
      <w:pPr>
        <w:rPr>
          <w:rFonts w:ascii="Arial" w:hAnsi="Arial" w:cs="Arial"/>
          <w:sz w:val="21"/>
          <w:szCs w:val="21"/>
        </w:rPr>
      </w:pPr>
    </w:p>
    <w:p w14:paraId="677A4A94">
      <w:pPr>
        <w:rPr>
          <w:rFonts w:ascii="Arial" w:hAnsi="Arial" w:cs="Arial"/>
          <w:sz w:val="21"/>
          <w:szCs w:val="21"/>
        </w:rPr>
      </w:pPr>
    </w:p>
    <w:p w14:paraId="2E7AD59F">
      <w:pPr>
        <w:rPr>
          <w:rFonts w:ascii="Arial" w:hAnsi="Arial" w:cs="Arial"/>
          <w:sz w:val="21"/>
          <w:szCs w:val="21"/>
        </w:rPr>
      </w:pPr>
    </w:p>
    <w:p w14:paraId="67D42E40">
      <w:pPr>
        <w:rPr>
          <w:rFonts w:ascii="Arial" w:hAnsi="Arial" w:cs="Arial"/>
          <w:sz w:val="21"/>
          <w:szCs w:val="21"/>
        </w:rPr>
      </w:pPr>
    </w:p>
    <w:p w14:paraId="6BE6EE13">
      <w:pPr>
        <w:rPr>
          <w:rFonts w:ascii="Arial" w:hAnsi="Arial" w:cs="Arial"/>
          <w:sz w:val="21"/>
          <w:szCs w:val="21"/>
        </w:rPr>
      </w:pPr>
    </w:p>
    <w:p w14:paraId="29D6C4D7">
      <w:pPr>
        <w:rPr>
          <w:rFonts w:ascii="Arial" w:hAnsi="Arial" w:cs="Arial"/>
          <w:sz w:val="21"/>
          <w:szCs w:val="21"/>
        </w:rPr>
      </w:pPr>
    </w:p>
    <w:p w14:paraId="1F1F8D32">
      <w:pPr>
        <w:rPr>
          <w:rFonts w:ascii="Arial" w:hAnsi="Arial" w:eastAsia="方正黑体简体" w:cs="Arial"/>
          <w:sz w:val="32"/>
          <w:szCs w:val="32"/>
        </w:rPr>
      </w:pPr>
      <w:r>
        <w:rPr>
          <w:rFonts w:hint="eastAsia" w:ascii="Arial" w:hAnsi="Arial" w:eastAsia="方正黑体简体" w:cs="Arial"/>
          <w:sz w:val="32"/>
          <w:szCs w:val="32"/>
        </w:rPr>
        <w:br w:type="page"/>
      </w:r>
    </w:p>
    <w:p w14:paraId="7470C1AD">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0E13B081">
      <w:pPr>
        <w:pStyle w:val="23"/>
        <w:rPr>
          <w:rFonts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color w:val="auto"/>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086AA8F3">
      <w:pPr>
        <w:pStyle w:val="23"/>
        <w:rPr>
          <w:rFonts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color w:val="auto"/>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A99124D">
      <w:pPr>
        <w:pStyle w:val="23"/>
        <w:rPr>
          <w:rFonts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color w:val="auto"/>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25D0DC1D">
      <w:pPr>
        <w:pStyle w:val="23"/>
        <w:rPr>
          <w:rFonts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color w:val="auto"/>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12</w:t>
      </w:r>
      <w:r>
        <w:rPr>
          <w:sz w:val="24"/>
          <w:szCs w:val="24"/>
        </w:rPr>
        <w:fldChar w:fldCharType="end"/>
      </w:r>
      <w:r>
        <w:rPr>
          <w:sz w:val="24"/>
          <w:szCs w:val="24"/>
        </w:rPr>
        <w:fldChar w:fldCharType="end"/>
      </w:r>
    </w:p>
    <w:p w14:paraId="18136581">
      <w:pPr>
        <w:pStyle w:val="27"/>
        <w:rPr>
          <w:rFonts w:ascii="等线" w:hAnsi="等线" w:eastAsia="等线"/>
          <w:kern w:val="2"/>
          <w:sz w:val="21"/>
          <w:szCs w:val="21"/>
        </w:rPr>
      </w:pPr>
      <w:r>
        <w:fldChar w:fldCharType="begin"/>
      </w:r>
      <w:r>
        <w:instrText xml:space="preserve"> HYPERLINK \l "_Toc155267086" </w:instrText>
      </w:r>
      <w:r>
        <w:fldChar w:fldCharType="separate"/>
      </w:r>
      <w:r>
        <w:rPr>
          <w:rStyle w:val="39"/>
          <w:rFonts w:eastAsia="宋体"/>
          <w:color w:val="auto"/>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153D829F">
      <w:pPr>
        <w:pStyle w:val="27"/>
        <w:rPr>
          <w:rFonts w:ascii="等线" w:hAnsi="等线" w:eastAsia="等线"/>
          <w:kern w:val="2"/>
          <w:sz w:val="21"/>
          <w:szCs w:val="21"/>
        </w:rPr>
      </w:pPr>
      <w:r>
        <w:fldChar w:fldCharType="begin"/>
      </w:r>
      <w:r>
        <w:instrText xml:space="preserve"> HYPERLINK \l "_Toc155267087" </w:instrText>
      </w:r>
      <w:r>
        <w:fldChar w:fldCharType="separate"/>
      </w:r>
      <w:r>
        <w:rPr>
          <w:rStyle w:val="39"/>
          <w:rFonts w:eastAsia="宋体"/>
          <w:color w:val="auto"/>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02433C6C">
      <w:pPr>
        <w:pStyle w:val="27"/>
        <w:rPr>
          <w:rFonts w:ascii="等线" w:hAnsi="等线" w:eastAsia="等线"/>
          <w:kern w:val="2"/>
          <w:sz w:val="21"/>
          <w:szCs w:val="21"/>
        </w:rPr>
      </w:pPr>
      <w:r>
        <w:fldChar w:fldCharType="begin"/>
      </w:r>
      <w:r>
        <w:instrText xml:space="preserve"> HYPERLINK \l "_Toc155267088" </w:instrText>
      </w:r>
      <w:r>
        <w:fldChar w:fldCharType="separate"/>
      </w:r>
      <w:r>
        <w:rPr>
          <w:rStyle w:val="39"/>
          <w:rFonts w:eastAsia="宋体"/>
          <w:color w:val="auto"/>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12</w:t>
      </w:r>
      <w:r>
        <w:rPr>
          <w:sz w:val="21"/>
          <w:szCs w:val="21"/>
        </w:rPr>
        <w:fldChar w:fldCharType="end"/>
      </w:r>
      <w:r>
        <w:rPr>
          <w:sz w:val="21"/>
          <w:szCs w:val="21"/>
        </w:rPr>
        <w:fldChar w:fldCharType="end"/>
      </w:r>
    </w:p>
    <w:p w14:paraId="76A12E6D">
      <w:pPr>
        <w:pStyle w:val="27"/>
        <w:rPr>
          <w:rFonts w:ascii="等线" w:hAnsi="等线" w:eastAsia="等线"/>
          <w:kern w:val="2"/>
          <w:sz w:val="21"/>
          <w:szCs w:val="21"/>
        </w:rPr>
      </w:pPr>
      <w:r>
        <w:fldChar w:fldCharType="begin"/>
      </w:r>
      <w:r>
        <w:instrText xml:space="preserve"> HYPERLINK \l "_Toc155267089" </w:instrText>
      </w:r>
      <w:r>
        <w:fldChar w:fldCharType="separate"/>
      </w:r>
      <w:r>
        <w:rPr>
          <w:rStyle w:val="39"/>
          <w:rFonts w:eastAsia="宋体"/>
          <w:color w:val="auto"/>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41AC2C44">
      <w:pPr>
        <w:pStyle w:val="27"/>
        <w:rPr>
          <w:rFonts w:ascii="等线" w:hAnsi="等线" w:eastAsia="等线"/>
          <w:kern w:val="2"/>
          <w:sz w:val="21"/>
          <w:szCs w:val="21"/>
        </w:rPr>
      </w:pPr>
      <w:r>
        <w:fldChar w:fldCharType="begin"/>
      </w:r>
      <w:r>
        <w:instrText xml:space="preserve"> HYPERLINK \l "_Toc155267090" </w:instrText>
      </w:r>
      <w:r>
        <w:fldChar w:fldCharType="separate"/>
      </w:r>
      <w:r>
        <w:rPr>
          <w:rStyle w:val="39"/>
          <w:rFonts w:eastAsia="宋体"/>
          <w:color w:val="auto"/>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469FFD6">
      <w:pPr>
        <w:pStyle w:val="27"/>
        <w:rPr>
          <w:rFonts w:ascii="等线" w:hAnsi="等线" w:eastAsia="等线"/>
          <w:kern w:val="2"/>
          <w:sz w:val="21"/>
          <w:szCs w:val="21"/>
        </w:rPr>
      </w:pPr>
      <w:r>
        <w:fldChar w:fldCharType="begin"/>
      </w:r>
      <w:r>
        <w:instrText xml:space="preserve"> HYPERLINK \l "_Toc155267091" </w:instrText>
      </w:r>
      <w:r>
        <w:fldChar w:fldCharType="separate"/>
      </w:r>
      <w:r>
        <w:rPr>
          <w:rStyle w:val="39"/>
          <w:rFonts w:eastAsia="宋体"/>
          <w:color w:val="auto"/>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F47B6E4">
      <w:pPr>
        <w:pStyle w:val="27"/>
        <w:rPr>
          <w:rFonts w:ascii="等线" w:hAnsi="等线" w:eastAsia="等线"/>
          <w:kern w:val="2"/>
          <w:sz w:val="21"/>
          <w:szCs w:val="21"/>
        </w:rPr>
      </w:pPr>
      <w:r>
        <w:fldChar w:fldCharType="begin"/>
      </w:r>
      <w:r>
        <w:instrText xml:space="preserve"> HYPERLINK \l "_Toc155267092" </w:instrText>
      </w:r>
      <w:r>
        <w:fldChar w:fldCharType="separate"/>
      </w:r>
      <w:r>
        <w:rPr>
          <w:rStyle w:val="39"/>
          <w:rFonts w:eastAsia="宋体"/>
          <w:color w:val="auto"/>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3E95FBC7">
      <w:pPr>
        <w:pStyle w:val="27"/>
        <w:rPr>
          <w:rFonts w:ascii="等线" w:hAnsi="等线" w:eastAsia="等线"/>
          <w:kern w:val="2"/>
          <w:sz w:val="21"/>
          <w:szCs w:val="21"/>
        </w:rPr>
      </w:pPr>
      <w:r>
        <w:fldChar w:fldCharType="begin"/>
      </w:r>
      <w:r>
        <w:instrText xml:space="preserve"> HYPERLINK \l "_Toc155267093" </w:instrText>
      </w:r>
      <w:r>
        <w:fldChar w:fldCharType="separate"/>
      </w:r>
      <w:r>
        <w:rPr>
          <w:rStyle w:val="39"/>
          <w:rFonts w:eastAsia="宋体"/>
          <w:color w:val="auto"/>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2E967D1">
      <w:pPr>
        <w:pStyle w:val="27"/>
        <w:rPr>
          <w:rFonts w:ascii="等线" w:hAnsi="等线" w:eastAsia="等线"/>
          <w:kern w:val="2"/>
          <w:sz w:val="21"/>
          <w:szCs w:val="21"/>
        </w:rPr>
      </w:pPr>
      <w:r>
        <w:fldChar w:fldCharType="begin"/>
      </w:r>
      <w:r>
        <w:instrText xml:space="preserve"> HYPERLINK \l "_Toc155267094" </w:instrText>
      </w:r>
      <w:r>
        <w:fldChar w:fldCharType="separate"/>
      </w:r>
      <w:r>
        <w:rPr>
          <w:rStyle w:val="39"/>
          <w:rFonts w:eastAsia="宋体"/>
          <w:color w:val="auto"/>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24</w:t>
      </w:r>
      <w:r>
        <w:rPr>
          <w:sz w:val="21"/>
          <w:szCs w:val="21"/>
        </w:rPr>
        <w:fldChar w:fldCharType="end"/>
      </w:r>
      <w:r>
        <w:rPr>
          <w:sz w:val="21"/>
          <w:szCs w:val="21"/>
        </w:rPr>
        <w:fldChar w:fldCharType="end"/>
      </w:r>
    </w:p>
    <w:p w14:paraId="15B44AED">
      <w:pPr>
        <w:pStyle w:val="27"/>
        <w:rPr>
          <w:rFonts w:ascii="等线" w:hAnsi="等线" w:eastAsia="等线"/>
          <w:kern w:val="2"/>
          <w:sz w:val="21"/>
          <w:szCs w:val="21"/>
        </w:rPr>
      </w:pPr>
      <w:r>
        <w:fldChar w:fldCharType="begin"/>
      </w:r>
      <w:r>
        <w:instrText xml:space="preserve"> HYPERLINK \l "_Toc155267095" </w:instrText>
      </w:r>
      <w:r>
        <w:fldChar w:fldCharType="separate"/>
      </w:r>
      <w:r>
        <w:rPr>
          <w:rStyle w:val="39"/>
          <w:rFonts w:eastAsia="宋体"/>
          <w:color w:val="auto"/>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25</w:t>
      </w:r>
      <w:r>
        <w:rPr>
          <w:sz w:val="21"/>
          <w:szCs w:val="21"/>
        </w:rPr>
        <w:fldChar w:fldCharType="end"/>
      </w:r>
      <w:r>
        <w:rPr>
          <w:sz w:val="21"/>
          <w:szCs w:val="21"/>
        </w:rPr>
        <w:fldChar w:fldCharType="end"/>
      </w:r>
    </w:p>
    <w:p w14:paraId="51535FE2">
      <w:pPr>
        <w:pStyle w:val="27"/>
        <w:rPr>
          <w:rFonts w:ascii="等线" w:hAnsi="等线" w:eastAsia="等线"/>
          <w:kern w:val="2"/>
          <w:sz w:val="21"/>
          <w:szCs w:val="21"/>
        </w:rPr>
      </w:pPr>
      <w:r>
        <w:fldChar w:fldCharType="begin"/>
      </w:r>
      <w:r>
        <w:instrText xml:space="preserve"> HYPERLINK \l "_Toc155267096" </w:instrText>
      </w:r>
      <w:r>
        <w:fldChar w:fldCharType="separate"/>
      </w:r>
      <w:r>
        <w:rPr>
          <w:rStyle w:val="39"/>
          <w:rFonts w:eastAsia="宋体"/>
          <w:color w:val="auto"/>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26</w:t>
      </w:r>
      <w:r>
        <w:rPr>
          <w:sz w:val="21"/>
          <w:szCs w:val="21"/>
        </w:rPr>
        <w:fldChar w:fldCharType="end"/>
      </w:r>
      <w:r>
        <w:rPr>
          <w:sz w:val="21"/>
          <w:szCs w:val="21"/>
        </w:rPr>
        <w:fldChar w:fldCharType="end"/>
      </w:r>
    </w:p>
    <w:p w14:paraId="067DF36D">
      <w:pPr>
        <w:pStyle w:val="27"/>
        <w:rPr>
          <w:rFonts w:ascii="等线" w:hAnsi="等线" w:eastAsia="等线"/>
          <w:kern w:val="2"/>
          <w:sz w:val="21"/>
          <w:szCs w:val="21"/>
        </w:rPr>
      </w:pPr>
      <w:r>
        <w:fldChar w:fldCharType="begin"/>
      </w:r>
      <w:r>
        <w:instrText xml:space="preserve"> HYPERLINK \l "_Toc155267097" </w:instrText>
      </w:r>
      <w:r>
        <w:fldChar w:fldCharType="separate"/>
      </w:r>
      <w:r>
        <w:rPr>
          <w:rStyle w:val="39"/>
          <w:rFonts w:eastAsia="宋体"/>
          <w:color w:val="auto"/>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26</w:t>
      </w:r>
      <w:r>
        <w:rPr>
          <w:sz w:val="21"/>
          <w:szCs w:val="21"/>
        </w:rPr>
        <w:fldChar w:fldCharType="end"/>
      </w:r>
      <w:r>
        <w:rPr>
          <w:sz w:val="21"/>
          <w:szCs w:val="21"/>
        </w:rPr>
        <w:fldChar w:fldCharType="end"/>
      </w:r>
    </w:p>
    <w:p w14:paraId="00C65A7E">
      <w:pPr>
        <w:pStyle w:val="27"/>
        <w:rPr>
          <w:rFonts w:ascii="等线" w:hAnsi="等线" w:eastAsia="等线"/>
          <w:kern w:val="2"/>
          <w:sz w:val="21"/>
          <w:szCs w:val="21"/>
        </w:rPr>
      </w:pPr>
      <w:r>
        <w:fldChar w:fldCharType="begin"/>
      </w:r>
      <w:r>
        <w:instrText xml:space="preserve"> HYPERLINK \l "_Toc155267098" </w:instrText>
      </w:r>
      <w:r>
        <w:fldChar w:fldCharType="separate"/>
      </w:r>
      <w:r>
        <w:rPr>
          <w:rStyle w:val="39"/>
          <w:rFonts w:eastAsia="宋体"/>
          <w:color w:val="auto"/>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26</w:t>
      </w:r>
      <w:r>
        <w:rPr>
          <w:sz w:val="21"/>
          <w:szCs w:val="21"/>
        </w:rPr>
        <w:fldChar w:fldCharType="end"/>
      </w:r>
      <w:r>
        <w:rPr>
          <w:sz w:val="21"/>
          <w:szCs w:val="21"/>
        </w:rPr>
        <w:fldChar w:fldCharType="end"/>
      </w:r>
    </w:p>
    <w:p w14:paraId="1A712073">
      <w:pPr>
        <w:pStyle w:val="23"/>
        <w:rPr>
          <w:rFonts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color w:val="auto"/>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27</w:t>
      </w:r>
      <w:r>
        <w:rPr>
          <w:sz w:val="24"/>
          <w:szCs w:val="24"/>
        </w:rPr>
        <w:fldChar w:fldCharType="end"/>
      </w:r>
      <w:r>
        <w:rPr>
          <w:sz w:val="24"/>
          <w:szCs w:val="24"/>
        </w:rPr>
        <w:fldChar w:fldCharType="end"/>
      </w:r>
    </w:p>
    <w:p w14:paraId="4E1994C3">
      <w:pPr>
        <w:pStyle w:val="27"/>
        <w:rPr>
          <w:rFonts w:ascii="等线" w:hAnsi="等线" w:eastAsia="等线"/>
          <w:kern w:val="2"/>
          <w:sz w:val="21"/>
          <w:szCs w:val="21"/>
        </w:rPr>
      </w:pPr>
      <w:r>
        <w:fldChar w:fldCharType="begin"/>
      </w:r>
      <w:r>
        <w:instrText xml:space="preserve"> HYPERLINK \l "_Toc155267100" </w:instrText>
      </w:r>
      <w:r>
        <w:fldChar w:fldCharType="separate"/>
      </w:r>
      <w:r>
        <w:rPr>
          <w:rStyle w:val="39"/>
          <w:rFonts w:eastAsia="宋体"/>
          <w:color w:val="auto"/>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27</w:t>
      </w:r>
      <w:r>
        <w:rPr>
          <w:sz w:val="21"/>
          <w:szCs w:val="21"/>
        </w:rPr>
        <w:fldChar w:fldCharType="end"/>
      </w:r>
      <w:r>
        <w:rPr>
          <w:sz w:val="21"/>
          <w:szCs w:val="21"/>
        </w:rPr>
        <w:fldChar w:fldCharType="end"/>
      </w:r>
    </w:p>
    <w:p w14:paraId="6B204BE1">
      <w:pPr>
        <w:pStyle w:val="27"/>
        <w:rPr>
          <w:rFonts w:ascii="等线" w:hAnsi="等线" w:eastAsia="等线"/>
          <w:kern w:val="2"/>
          <w:sz w:val="21"/>
          <w:szCs w:val="21"/>
        </w:rPr>
      </w:pPr>
      <w:r>
        <w:fldChar w:fldCharType="begin"/>
      </w:r>
      <w:r>
        <w:instrText xml:space="preserve"> HYPERLINK \l "_Toc155267101" </w:instrText>
      </w:r>
      <w:r>
        <w:fldChar w:fldCharType="separate"/>
      </w:r>
      <w:r>
        <w:rPr>
          <w:rStyle w:val="39"/>
          <w:rFonts w:eastAsia="宋体"/>
          <w:color w:val="auto"/>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75872A6">
      <w:pPr>
        <w:pStyle w:val="27"/>
        <w:rPr>
          <w:rFonts w:ascii="等线" w:hAnsi="等线" w:eastAsia="等线"/>
          <w:kern w:val="2"/>
          <w:sz w:val="21"/>
          <w:szCs w:val="21"/>
        </w:rPr>
      </w:pPr>
      <w:r>
        <w:fldChar w:fldCharType="begin"/>
      </w:r>
      <w:r>
        <w:instrText xml:space="preserve"> HYPERLINK \l "_Toc155267102" </w:instrText>
      </w:r>
      <w:r>
        <w:fldChar w:fldCharType="separate"/>
      </w:r>
      <w:r>
        <w:rPr>
          <w:rStyle w:val="39"/>
          <w:rFonts w:eastAsia="宋体"/>
          <w:color w:val="auto"/>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28</w:t>
      </w:r>
      <w:r>
        <w:rPr>
          <w:sz w:val="21"/>
          <w:szCs w:val="21"/>
        </w:rPr>
        <w:fldChar w:fldCharType="end"/>
      </w:r>
      <w:r>
        <w:rPr>
          <w:sz w:val="21"/>
          <w:szCs w:val="21"/>
        </w:rPr>
        <w:fldChar w:fldCharType="end"/>
      </w:r>
    </w:p>
    <w:p w14:paraId="1C76BD5B">
      <w:pPr>
        <w:pStyle w:val="27"/>
        <w:rPr>
          <w:rFonts w:ascii="等线" w:hAnsi="等线" w:eastAsia="等线"/>
          <w:kern w:val="2"/>
          <w:sz w:val="21"/>
          <w:szCs w:val="21"/>
        </w:rPr>
      </w:pPr>
      <w:r>
        <w:fldChar w:fldCharType="begin"/>
      </w:r>
      <w:r>
        <w:instrText xml:space="preserve"> HYPERLINK \l "_Toc155267103" </w:instrText>
      </w:r>
      <w:r>
        <w:fldChar w:fldCharType="separate"/>
      </w:r>
      <w:r>
        <w:rPr>
          <w:rStyle w:val="39"/>
          <w:rFonts w:eastAsia="宋体"/>
          <w:color w:val="auto"/>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32</w:t>
      </w:r>
      <w:r>
        <w:rPr>
          <w:sz w:val="21"/>
          <w:szCs w:val="21"/>
        </w:rPr>
        <w:fldChar w:fldCharType="end"/>
      </w:r>
      <w:r>
        <w:rPr>
          <w:sz w:val="21"/>
          <w:szCs w:val="21"/>
        </w:rPr>
        <w:fldChar w:fldCharType="end"/>
      </w:r>
    </w:p>
    <w:p w14:paraId="4E46AF79">
      <w:pPr>
        <w:pStyle w:val="27"/>
        <w:rPr>
          <w:rFonts w:ascii="等线" w:hAnsi="等线" w:eastAsia="等线"/>
          <w:kern w:val="2"/>
          <w:sz w:val="21"/>
          <w:szCs w:val="21"/>
        </w:rPr>
      </w:pPr>
      <w:r>
        <w:fldChar w:fldCharType="begin"/>
      </w:r>
      <w:r>
        <w:instrText xml:space="preserve"> HYPERLINK \l "_Toc155267104" </w:instrText>
      </w:r>
      <w:r>
        <w:fldChar w:fldCharType="separate"/>
      </w:r>
      <w:r>
        <w:rPr>
          <w:rStyle w:val="39"/>
          <w:rFonts w:eastAsia="宋体"/>
          <w:color w:val="auto"/>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32</w:t>
      </w:r>
      <w:r>
        <w:rPr>
          <w:sz w:val="21"/>
          <w:szCs w:val="21"/>
        </w:rPr>
        <w:fldChar w:fldCharType="end"/>
      </w:r>
      <w:r>
        <w:rPr>
          <w:sz w:val="21"/>
          <w:szCs w:val="21"/>
        </w:rPr>
        <w:fldChar w:fldCharType="end"/>
      </w:r>
    </w:p>
    <w:p w14:paraId="04CF8265">
      <w:pPr>
        <w:pStyle w:val="27"/>
        <w:rPr>
          <w:rFonts w:ascii="等线" w:hAnsi="等线" w:eastAsia="等线"/>
          <w:kern w:val="2"/>
          <w:sz w:val="21"/>
          <w:szCs w:val="21"/>
        </w:rPr>
      </w:pPr>
      <w:r>
        <w:fldChar w:fldCharType="begin"/>
      </w:r>
      <w:r>
        <w:instrText xml:space="preserve"> HYPERLINK \l "_Toc155267105" </w:instrText>
      </w:r>
      <w:r>
        <w:fldChar w:fldCharType="separate"/>
      </w:r>
      <w:r>
        <w:rPr>
          <w:rStyle w:val="39"/>
          <w:rFonts w:eastAsia="宋体"/>
          <w:color w:val="auto"/>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46</w:t>
      </w:r>
      <w:r>
        <w:rPr>
          <w:sz w:val="21"/>
          <w:szCs w:val="21"/>
        </w:rPr>
        <w:fldChar w:fldCharType="end"/>
      </w:r>
      <w:r>
        <w:rPr>
          <w:sz w:val="21"/>
          <w:szCs w:val="21"/>
        </w:rPr>
        <w:fldChar w:fldCharType="end"/>
      </w:r>
    </w:p>
    <w:p w14:paraId="6231D687">
      <w:pPr>
        <w:pStyle w:val="27"/>
        <w:rPr>
          <w:rFonts w:ascii="等线" w:hAnsi="等线" w:eastAsia="等线"/>
          <w:kern w:val="2"/>
          <w:sz w:val="21"/>
          <w:szCs w:val="21"/>
        </w:rPr>
      </w:pPr>
      <w:r>
        <w:fldChar w:fldCharType="begin"/>
      </w:r>
      <w:r>
        <w:instrText xml:space="preserve"> HYPERLINK \l "_Toc155267106" </w:instrText>
      </w:r>
      <w:r>
        <w:fldChar w:fldCharType="separate"/>
      </w:r>
      <w:r>
        <w:rPr>
          <w:rStyle w:val="39"/>
          <w:rFonts w:eastAsia="宋体"/>
          <w:color w:val="auto"/>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48</w:t>
      </w:r>
      <w:r>
        <w:rPr>
          <w:sz w:val="21"/>
          <w:szCs w:val="21"/>
        </w:rPr>
        <w:fldChar w:fldCharType="end"/>
      </w:r>
      <w:r>
        <w:rPr>
          <w:sz w:val="21"/>
          <w:szCs w:val="21"/>
        </w:rPr>
        <w:fldChar w:fldCharType="end"/>
      </w:r>
    </w:p>
    <w:p w14:paraId="67208ABF">
      <w:pPr>
        <w:pStyle w:val="27"/>
        <w:rPr>
          <w:rFonts w:ascii="等线" w:hAnsi="等线" w:eastAsia="等线"/>
          <w:kern w:val="2"/>
          <w:sz w:val="21"/>
          <w:szCs w:val="21"/>
        </w:rPr>
      </w:pPr>
      <w:r>
        <w:fldChar w:fldCharType="begin"/>
      </w:r>
      <w:r>
        <w:instrText xml:space="preserve"> HYPERLINK \l "_Toc155267107" </w:instrText>
      </w:r>
      <w:r>
        <w:fldChar w:fldCharType="separate"/>
      </w:r>
      <w:r>
        <w:rPr>
          <w:rStyle w:val="39"/>
          <w:rFonts w:eastAsia="宋体"/>
          <w:color w:val="auto"/>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51</w:t>
      </w:r>
      <w:r>
        <w:rPr>
          <w:sz w:val="21"/>
          <w:szCs w:val="21"/>
        </w:rPr>
        <w:fldChar w:fldCharType="end"/>
      </w:r>
      <w:r>
        <w:rPr>
          <w:sz w:val="21"/>
          <w:szCs w:val="21"/>
        </w:rPr>
        <w:fldChar w:fldCharType="end"/>
      </w:r>
    </w:p>
    <w:p w14:paraId="2B80B925">
      <w:pPr>
        <w:pStyle w:val="27"/>
        <w:rPr>
          <w:rFonts w:ascii="等线" w:hAnsi="等线" w:eastAsia="等线"/>
          <w:kern w:val="2"/>
          <w:sz w:val="21"/>
          <w:szCs w:val="21"/>
        </w:rPr>
      </w:pPr>
      <w:r>
        <w:fldChar w:fldCharType="begin"/>
      </w:r>
      <w:r>
        <w:instrText xml:space="preserve"> HYPERLINK \l "_Toc155267108" </w:instrText>
      </w:r>
      <w:r>
        <w:fldChar w:fldCharType="separate"/>
      </w:r>
      <w:r>
        <w:rPr>
          <w:rStyle w:val="39"/>
          <w:rFonts w:eastAsia="宋体"/>
          <w:color w:val="auto"/>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79</w:t>
      </w:r>
      <w:r>
        <w:rPr>
          <w:sz w:val="21"/>
          <w:szCs w:val="21"/>
        </w:rPr>
        <w:fldChar w:fldCharType="end"/>
      </w:r>
      <w:r>
        <w:rPr>
          <w:sz w:val="21"/>
          <w:szCs w:val="21"/>
        </w:rPr>
        <w:fldChar w:fldCharType="end"/>
      </w:r>
    </w:p>
    <w:p w14:paraId="3F8DE10D">
      <w:pPr>
        <w:pStyle w:val="23"/>
        <w:rPr>
          <w:rFonts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color w:val="auto"/>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80</w:t>
      </w:r>
      <w:r>
        <w:rPr>
          <w:sz w:val="24"/>
          <w:szCs w:val="24"/>
        </w:rPr>
        <w:fldChar w:fldCharType="end"/>
      </w:r>
      <w:r>
        <w:rPr>
          <w:sz w:val="24"/>
          <w:szCs w:val="24"/>
        </w:rPr>
        <w:fldChar w:fldCharType="end"/>
      </w:r>
    </w:p>
    <w:p w14:paraId="13BAFAF0">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2DC59C36">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1B79EA09">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72AB934B">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68906074">
      <w:pPr>
        <w:numPr>
          <w:ilvl w:val="0"/>
          <w:numId w:val="5"/>
        </w:numPr>
        <w:spacing w:line="360" w:lineRule="auto"/>
        <w:jc w:val="both"/>
        <w:rPr>
          <w:rFonts w:ascii="Arial" w:hAnsi="Arial" w:cs="Arial"/>
          <w:sz w:val="21"/>
          <w:szCs w:val="21"/>
        </w:rPr>
      </w:pPr>
      <w:r>
        <w:rPr>
          <w:rFonts w:hint="eastAsia" w:ascii="Arial" w:hAnsi="Arial" w:cs="Arial"/>
          <w:sz w:val="21"/>
          <w:szCs w:val="21"/>
        </w:rPr>
        <w:t>《国有土地使用证》[京兴国用（2010）出第00133、00134、00135号]部分复印件</w:t>
      </w:r>
    </w:p>
    <w:p w14:paraId="3C7CD223">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1A7A0480">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4F54804A">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1290A709">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4E3D3F7A">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《房屋所有权证》[X京房权证兴字第144437、144436、144435、144444、1444440、144439、144442、144443、144449、144445、144447、194022号]复印件</w:t>
      </w:r>
    </w:p>
    <w:p w14:paraId="6CC41F0A">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《房屋所有权证》[X京房权证兴字第100091、102139、102135、102136、102140、102137、102138、103831、102031、110683、110394、110393、110397、110396、110395、110392、110389号]复印件</w:t>
      </w:r>
    </w:p>
    <w:p w14:paraId="2B8363EC">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《房屋所有权证》[X京房权证兴字第103107、103825号]复印件</w:t>
      </w:r>
    </w:p>
    <w:p w14:paraId="233BDA10">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《房屋所有权证》[X京房权证兴字第146943、146944、102030、100093、102028号]复印件</w:t>
      </w:r>
    </w:p>
    <w:p w14:paraId="09029A37">
      <w:pPr>
        <w:numPr>
          <w:ilvl w:val="0"/>
          <w:numId w:val="5"/>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701ED2A6">
      <w:pPr>
        <w:numPr>
          <w:ilvl w:val="0"/>
          <w:numId w:val="5"/>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0827316D">
      <w:pPr>
        <w:numPr>
          <w:ilvl w:val="0"/>
          <w:numId w:val="5"/>
        </w:numPr>
        <w:spacing w:line="360" w:lineRule="auto"/>
        <w:jc w:val="both"/>
        <w:rPr>
          <w:rFonts w:ascii="Arial" w:hAnsi="Arial" w:cs="Arial"/>
          <w:sz w:val="21"/>
          <w:szCs w:val="21"/>
        </w:rPr>
      </w:pPr>
      <w:r>
        <w:rPr>
          <w:rFonts w:hint="eastAsia" w:ascii="Arial" w:hAnsi="Arial" w:cs="Arial"/>
          <w:sz w:val="21"/>
          <w:szCs w:val="21"/>
        </w:rPr>
        <w:t>《采育数字时尚小镇保障性住房趸组协议》及其附件复印件</w:t>
      </w:r>
    </w:p>
    <w:p w14:paraId="72826218">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3B7160A">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17F31DF4">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0E2077AA">
      <w:pPr>
        <w:spacing w:line="240" w:lineRule="auto"/>
        <w:jc w:val="both"/>
        <w:outlineLvl w:val="0"/>
        <w:rPr>
          <w:rFonts w:ascii="Arial" w:hAnsi="Arial" w:eastAsia="楷体_GB2312" w:cs="Arial"/>
          <w:i/>
          <w:kern w:val="2"/>
          <w:sz w:val="28"/>
          <w:szCs w:val="28"/>
        </w:rPr>
        <w:sectPr>
          <w:headerReference r:id="rId12" w:type="first"/>
          <w:headerReference r:id="rId10" w:type="default"/>
          <w:headerReference r:id="rId11" w:type="even"/>
          <w:pgSz w:w="11907" w:h="16840"/>
          <w:pgMar w:top="1843" w:right="1134" w:bottom="1134" w:left="1134" w:header="1134" w:footer="907" w:gutter="340"/>
          <w:cols w:space="720" w:num="1"/>
          <w:docGrid w:linePitch="326" w:charSpace="0"/>
        </w:sectPr>
      </w:pPr>
    </w:p>
    <w:p w14:paraId="0B7B8802">
      <w:pPr>
        <w:pStyle w:val="2"/>
        <w:spacing w:line="480" w:lineRule="auto"/>
        <w:jc w:val="center"/>
        <w:rPr>
          <w:rFonts w:eastAsia="方正黑体简体"/>
          <w:b w:val="0"/>
          <w:kern w:val="2"/>
          <w:sz w:val="32"/>
          <w:szCs w:val="32"/>
        </w:rPr>
      </w:pPr>
      <w:bookmarkStart w:id="5" w:name="_Toc379795041"/>
      <w:bookmarkStart w:id="6" w:name="_Toc155267083"/>
      <w:r>
        <w:rPr>
          <w:rFonts w:hint="eastAsia" w:eastAsia="方正黑体简体"/>
          <w:b w:val="0"/>
          <w:kern w:val="2"/>
          <w:sz w:val="32"/>
          <w:szCs w:val="32"/>
        </w:rPr>
        <w:t>估价师声明</w:t>
      </w:r>
      <w:bookmarkEnd w:id="5"/>
      <w:bookmarkEnd w:id="6"/>
    </w:p>
    <w:p w14:paraId="2DB6A4D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070452EA">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115C9339">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C90F785">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3B28F2B">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581EEA4B">
      <w:pPr>
        <w:rPr>
          <w:rFonts w:ascii="Arial" w:hAnsi="Arial" w:eastAsia="楷体_GB2312" w:cs="Arial"/>
          <w:kern w:val="2"/>
          <w:sz w:val="28"/>
        </w:rPr>
        <w:sectPr>
          <w:headerReference r:id="rId15" w:type="first"/>
          <w:footerReference r:id="rId16" w:type="first"/>
          <w:headerReference r:id="rId13" w:type="default"/>
          <w:headerReference r:id="rId14" w:type="even"/>
          <w:pgSz w:w="11907" w:h="16840"/>
          <w:pgMar w:top="1843" w:right="1134" w:bottom="1134" w:left="1134" w:header="1134" w:footer="907" w:gutter="340"/>
          <w:cols w:space="720" w:num="1"/>
          <w:docGrid w:linePitch="326" w:charSpace="0"/>
        </w:sectPr>
      </w:pPr>
    </w:p>
    <w:p w14:paraId="49F52398">
      <w:pPr>
        <w:pStyle w:val="2"/>
        <w:spacing w:line="480" w:lineRule="auto"/>
        <w:jc w:val="center"/>
        <w:rPr>
          <w:rFonts w:eastAsia="方正黑体简体"/>
          <w:b w:val="0"/>
          <w:kern w:val="2"/>
          <w:sz w:val="32"/>
          <w:szCs w:val="32"/>
        </w:rPr>
      </w:pPr>
      <w:bookmarkStart w:id="10" w:name="_Toc379795042"/>
      <w:bookmarkStart w:id="11" w:name="_Toc155267084"/>
      <w:r>
        <w:rPr>
          <w:rFonts w:hint="eastAsia" w:eastAsia="方正黑体简体"/>
          <w:b w:val="0"/>
          <w:kern w:val="2"/>
          <w:sz w:val="32"/>
          <w:szCs w:val="32"/>
        </w:rPr>
        <w:t>估价假设和限制条件</w:t>
      </w:r>
      <w:bookmarkEnd w:id="10"/>
      <w:bookmarkEnd w:id="11"/>
    </w:p>
    <w:p w14:paraId="2692B77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02F52F4B">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5919A8F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09AA4116">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59540803">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4DAF5B99">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.本次估价结果是在满足全部假设与限制条件下，于价值时点2025年12月26日，</w:t>
      </w:r>
      <w:r>
        <w:rPr>
          <w:rFonts w:hint="eastAsia" w:ascii="Arial" w:hAnsi="Arial" w:cs="Arial"/>
          <w:sz w:val="21"/>
          <w:szCs w:val="21"/>
        </w:rPr>
        <w:t>市场租赁住房租金是指市场租赁住房于价值时点在公开市场上的平均租金，包含房屋、家具家电使用费、物业费及租赁税费，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45FC717D">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《采育数字时尚小镇保障性住房趸组协议》及其附件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2B224F09">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1030682">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6B6BCA05">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2CE928C9">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439C401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.评估专业人员于2025年10月27日对估价对象现状利用状况进行了实地查勘。本次评估设定估价对象在价值时点2025年12月26日的现状利用状况同实地勘察日利用状况相同。</w:t>
      </w:r>
    </w:p>
    <w:p w14:paraId="2176AB2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2</w:t>
      </w:r>
      <w:r>
        <w:rPr>
          <w:rFonts w:hint="eastAsia" w:ascii="Arial" w:hAnsi="Arial" w:cs="Arial"/>
          <w:kern w:val="2"/>
          <w:sz w:val="21"/>
          <w:szCs w:val="21"/>
        </w:rPr>
        <w:t>.根据估价目的，本次估价未考虑抵押、租赁、地役、查封等他项权利影响，故设定估价对象于价值时点不存在抵押、租赁、地役、查封等他项权利限制。</w:t>
      </w:r>
    </w:p>
    <w:p w14:paraId="364A5A32">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30CD7441">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1504D63C">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53CD36C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于价值时点，估价对象已竣工，</w:t>
      </w:r>
      <w:r>
        <w:rPr>
          <w:rFonts w:hint="eastAsia" w:ascii="Arial" w:hAnsi="Arial" w:cs="Arial"/>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估价对象共计</w:t>
      </w:r>
      <w:r>
        <w:rPr>
          <w:rFonts w:hint="eastAsia" w:ascii="Arial" w:hAnsi="Arial" w:cs="Arial"/>
          <w:kern w:val="2"/>
          <w:sz w:val="21"/>
          <w:szCs w:val="21"/>
        </w:rPr>
        <w:t>1324套住宅用房，其中已转化人才公租房500套现状室内装修情况为</w:t>
      </w:r>
      <w:r>
        <w:rPr>
          <w:rFonts w:hint="eastAsia" w:ascii="Arial" w:hAnsi="Arial" w:cs="Arial"/>
          <w:kern w:val="2"/>
          <w:sz w:val="21"/>
          <w:szCs w:val="21"/>
          <w:lang w:eastAsia="zh-CN"/>
        </w:rPr>
        <w:t>全装修</w:t>
      </w:r>
      <w:r>
        <w:rPr>
          <w:rFonts w:hint="eastAsia" w:ascii="Arial" w:hAnsi="Arial" w:cs="Arial"/>
          <w:kern w:val="2"/>
          <w:sz w:val="21"/>
          <w:szCs w:val="21"/>
        </w:rPr>
        <w:t>，安置房剩余房源824套现状为毛坯，后续由北京市大兴区保障性住房建设投资有限公司按实际情况分期分批对824套剩余房源进行装修，估价对象全部房源均按照</w:t>
      </w:r>
      <w:r>
        <w:rPr>
          <w:rFonts w:hint="eastAsia" w:ascii="Arial" w:hAnsi="Arial" w:cs="Arial"/>
          <w:kern w:val="2"/>
          <w:sz w:val="21"/>
          <w:szCs w:val="21"/>
          <w:lang w:eastAsia="zh-CN"/>
        </w:rPr>
        <w:t>全装修</w:t>
      </w:r>
      <w:r>
        <w:rPr>
          <w:rFonts w:hint="eastAsia" w:ascii="Arial" w:hAnsi="Arial" w:cs="Arial"/>
          <w:kern w:val="2"/>
          <w:sz w:val="21"/>
          <w:szCs w:val="21"/>
        </w:rPr>
        <w:t>标准配租，故本次评估室内装修情况均设定为</w:t>
      </w:r>
      <w:r>
        <w:rPr>
          <w:rFonts w:hint="eastAsia" w:ascii="Arial" w:hAnsi="Arial" w:cs="Arial"/>
          <w:kern w:val="2"/>
          <w:sz w:val="21"/>
          <w:szCs w:val="21"/>
          <w:lang w:eastAsia="zh-CN"/>
        </w:rPr>
        <w:t>全装修</w:t>
      </w:r>
      <w:r>
        <w:rPr>
          <w:rFonts w:hint="eastAsia" w:ascii="Arial" w:hAnsi="Arial" w:cs="Arial"/>
          <w:kern w:val="2"/>
          <w:sz w:val="21"/>
          <w:szCs w:val="21"/>
        </w:rPr>
        <w:t>。</w:t>
      </w:r>
    </w:p>
    <w:p w14:paraId="17BD95E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693F7C1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72B7160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5076068B">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1.截至价值时点，估价对象中北京市大兴区育林街1号院（育新花园北里）4号楼1单元401号等489套剩余房源，产权单位为北京丽富房地产开发有限公司，根据</w:t>
      </w:r>
      <w:r>
        <w:rPr>
          <w:rFonts w:hint="eastAsia" w:ascii="Arial" w:hAnsi="Arial" w:cs="Arial"/>
          <w:sz w:val="21"/>
          <w:szCs w:val="21"/>
        </w:rPr>
        <w:t>《北京市大兴区采育镇四号地01-0001A、01-0001B地块项目开发回购协议书补充协议》[兴采01-0001协字（2012）001号附件1]、《采育数字时尚小镇保障性住房趸组协议》及其附件，</w:t>
      </w:r>
      <w:r>
        <w:rPr>
          <w:rFonts w:hint="eastAsia" w:ascii="Arial" w:hAnsi="Arial" w:cs="Arial"/>
          <w:kern w:val="2"/>
          <w:sz w:val="21"/>
          <w:szCs w:val="21"/>
        </w:rPr>
        <w:t>经区政府批准已由兴创投资有限公司回购，但暂未办理产权过户手续。经与估价委托人确认，兴创投资有限公司对上述租赁房屋享有合法、完整的占有、使用、收益及出租的权利，房屋来源合法，不存在任何抵押、租赁、查封等权利受限情形，并以估价对象可正常办理产权过户手续为前提，再此提请报告使用者注意。</w:t>
      </w:r>
    </w:p>
    <w:p w14:paraId="42B674B6">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2.截至报告出具日，估价未提供估价对象北京市大兴区育林街1号院5、8、16号楼；大兴区育林街2号院21、22、23号楼；大兴区育林街8号院1、2、3、4、7、9、11、12、13号楼；大兴区育仁街1号院3、7、8、9号楼所对应的</w:t>
      </w:r>
      <w:r>
        <w:rPr>
          <w:rFonts w:hint="eastAsia" w:ascii="Arial" w:hAnsi="Arial" w:cs="Arial"/>
          <w:sz w:val="21"/>
          <w:szCs w:val="21"/>
        </w:rPr>
        <w:t>《房屋所有权证》，根据《采育数字时尚小镇保障性住房趸组协议》及其附件描述，经与估价委托人确认，本次评估设定上述楼栋均已取得《房屋所有权证》，</w:t>
      </w:r>
      <w:r>
        <w:rPr>
          <w:rFonts w:hint="eastAsia" w:ascii="Arial" w:hAnsi="Arial" w:cs="Arial"/>
          <w:kern w:val="2"/>
          <w:sz w:val="21"/>
          <w:szCs w:val="21"/>
        </w:rPr>
        <w:t>房屋所有权人为北京兴创投资有限公司，再此提请报告使用者注意。</w:t>
      </w:r>
    </w:p>
    <w:p w14:paraId="2A42633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3F134AC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1C2B3A1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632FB40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48094CE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4EF846C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17042C9B">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68DA39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17E59BE">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FFAFA6E">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1CA8542D">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3011423">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AC6037E">
      <w:pPr>
        <w:spacing w:line="480" w:lineRule="auto"/>
        <w:ind w:firstLine="420" w:firstLineChars="200"/>
        <w:jc w:val="both"/>
        <w:rPr>
          <w:rFonts w:ascii="Arial" w:hAnsi="Arial" w:cs="Arial"/>
          <w:sz w:val="21"/>
          <w:szCs w:val="21"/>
        </w:rPr>
      </w:pPr>
      <w:r>
        <w:rPr>
          <w:rFonts w:hint="eastAsia" w:ascii="Arial" w:hAnsi="Arial" w:cs="Arial"/>
          <w:sz w:val="21"/>
          <w:szCs w:val="21"/>
        </w:rPr>
        <w:t>12.根据评估专业人员调查，于价值时点，估价对象存在抵押情况，根据本次估价目的，不考虑抵押权对估价结果的影响。</w:t>
      </w:r>
    </w:p>
    <w:p w14:paraId="75DA8596">
      <w:pPr>
        <w:spacing w:line="480" w:lineRule="auto"/>
        <w:ind w:firstLine="420" w:firstLineChars="200"/>
        <w:jc w:val="both"/>
        <w:rPr>
          <w:rFonts w:ascii="Arial" w:hAnsi="Arial" w:cs="Arial"/>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3</w:t>
      </w:r>
      <w:r>
        <w:rPr>
          <w:rFonts w:ascii="Arial" w:hAnsi="Arial" w:cs="Arial"/>
          <w:kern w:val="2"/>
          <w:sz w:val="21"/>
          <w:szCs w:val="21"/>
        </w:rPr>
        <w:t>月</w:t>
      </w:r>
      <w:r>
        <w:rPr>
          <w:rFonts w:hint="eastAsia" w:ascii="Arial" w:hAnsi="Arial" w:cs="Arial"/>
          <w:kern w:val="2"/>
          <w:sz w:val="21"/>
          <w:szCs w:val="21"/>
        </w:rPr>
        <w:t>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7年3月5日有效</w:t>
      </w:r>
      <w:r>
        <w:rPr>
          <w:rFonts w:ascii="Arial" w:hAnsi="Arial" w:cs="Arial"/>
          <w:kern w:val="2"/>
          <w:sz w:val="21"/>
          <w:szCs w:val="21"/>
        </w:rPr>
        <w:t>。</w:t>
      </w:r>
    </w:p>
    <w:bookmarkEnd w:id="7"/>
    <w:p w14:paraId="6D89D753">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158EA1C2">
      <w:pPr>
        <w:pStyle w:val="2"/>
        <w:spacing w:line="360" w:lineRule="auto"/>
        <w:jc w:val="center"/>
        <w:rPr>
          <w:rFonts w:eastAsia="方正黑体简体"/>
          <w:b w:val="0"/>
          <w:kern w:val="2"/>
          <w:sz w:val="32"/>
          <w:szCs w:val="32"/>
        </w:rPr>
      </w:pPr>
      <w:bookmarkStart w:id="15" w:name="_Toc155267085"/>
      <w:bookmarkStart w:id="16" w:name="_Toc168225812"/>
      <w:r>
        <w:rPr>
          <w:rFonts w:hint="eastAsia" w:eastAsia="方正黑体简体"/>
          <w:b w:val="0"/>
          <w:kern w:val="2"/>
          <w:sz w:val="32"/>
          <w:szCs w:val="32"/>
        </w:rPr>
        <w:t>估价结果报告</w:t>
      </w:r>
      <w:bookmarkEnd w:id="15"/>
      <w:bookmarkEnd w:id="16"/>
    </w:p>
    <w:p w14:paraId="78B9A86C">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098E870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北京市大兴区保障性住房建设投资有限公司</w:t>
      </w:r>
    </w:p>
    <w:p w14:paraId="6CFCE3A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地    址：北京市大兴区新源大街兴创总部公园-2栋</w:t>
      </w:r>
    </w:p>
    <w:p w14:paraId="20E1343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人：崔梦杰</w:t>
      </w:r>
    </w:p>
    <w:p w14:paraId="22015E1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电    话：15001339691</w:t>
      </w:r>
    </w:p>
    <w:p w14:paraId="79DF152D">
      <w:pPr>
        <w:wordWrap w:val="0"/>
        <w:overflowPunct w:val="0"/>
        <w:spacing w:line="480" w:lineRule="auto"/>
        <w:ind w:firstLine="420" w:firstLineChars="200"/>
        <w:jc w:val="both"/>
        <w:textAlignment w:val="auto"/>
        <w:rPr>
          <w:rFonts w:ascii="Arial" w:hAnsi="Arial" w:cs="Arial"/>
          <w:sz w:val="21"/>
          <w:szCs w:val="21"/>
        </w:rPr>
      </w:pPr>
    </w:p>
    <w:p w14:paraId="12CE139C">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7847DBC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16D17AAA">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5790B1A9">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3A407EE9">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2C2AC253">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5269C515">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39A2530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44AB227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640E742D">
      <w:pPr>
        <w:wordWrap w:val="0"/>
        <w:overflowPunct w:val="0"/>
        <w:spacing w:line="480" w:lineRule="auto"/>
        <w:ind w:firstLine="420" w:firstLineChars="200"/>
        <w:jc w:val="both"/>
        <w:textAlignment w:val="auto"/>
        <w:rPr>
          <w:rFonts w:ascii="Arial" w:hAnsi="Arial" w:cs="Arial"/>
          <w:kern w:val="2"/>
          <w:sz w:val="21"/>
          <w:szCs w:val="21"/>
        </w:rPr>
      </w:pPr>
    </w:p>
    <w:p w14:paraId="59AEEA2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55267088"/>
      <w:bookmarkStart w:id="22" w:name="_Toc168225815"/>
      <w:r>
        <w:rPr>
          <w:rFonts w:eastAsia="宋体"/>
          <w:kern w:val="2"/>
          <w:sz w:val="21"/>
          <w:szCs w:val="21"/>
        </w:rPr>
        <w:t>三、估价目的</w:t>
      </w:r>
      <w:bookmarkEnd w:id="21"/>
      <w:bookmarkEnd w:id="22"/>
    </w:p>
    <w:p w14:paraId="12858F55">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kern w:val="2"/>
          <w:sz w:val="21"/>
        </w:rPr>
        <w:t>为估价委托人了解估价对象房地产市场租金水平提供参考依据</w:t>
      </w:r>
      <w:r>
        <w:rPr>
          <w:rFonts w:ascii="Arial" w:hAnsi="Arial" w:cs="Arial"/>
          <w:sz w:val="21"/>
          <w:szCs w:val="21"/>
        </w:rPr>
        <w:t>。</w:t>
      </w:r>
      <w:r>
        <w:rPr>
          <w:rFonts w:ascii="Arial" w:hAnsi="Arial" w:cs="Arial"/>
          <w:kern w:val="2"/>
          <w:sz w:val="21"/>
          <w:szCs w:val="21"/>
        </w:rPr>
        <w:t xml:space="preserve"> </w:t>
      </w:r>
    </w:p>
    <w:p w14:paraId="7732B2C9">
      <w:pPr>
        <w:wordWrap w:val="0"/>
        <w:overflowPunct w:val="0"/>
        <w:spacing w:line="480" w:lineRule="auto"/>
        <w:ind w:firstLine="420" w:firstLineChars="200"/>
        <w:jc w:val="both"/>
        <w:textAlignment w:val="auto"/>
        <w:rPr>
          <w:rFonts w:ascii="Arial" w:hAnsi="Arial" w:cs="Arial"/>
          <w:sz w:val="21"/>
          <w:szCs w:val="21"/>
        </w:rPr>
      </w:pPr>
    </w:p>
    <w:p w14:paraId="3CEF6D6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68225816"/>
      <w:bookmarkStart w:id="24" w:name="_Toc155267089"/>
      <w:r>
        <w:rPr>
          <w:rFonts w:eastAsia="宋体"/>
          <w:kern w:val="2"/>
          <w:sz w:val="21"/>
          <w:szCs w:val="21"/>
        </w:rPr>
        <w:t>四、估价对象</w:t>
      </w:r>
      <w:bookmarkEnd w:id="23"/>
      <w:bookmarkEnd w:id="24"/>
    </w:p>
    <w:p w14:paraId="3FE92D7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1436078">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采育数字时尚小镇保障性住房趸组协议》及其附件、《房屋所有权证》[X京房权证兴字第144437、144436、144435、144444、1444440、144439、144442、144443、144449、144445、144447、194022号]、《北京市大兴区采育镇四号地01-0001A、01-0001B地块项目开发回购协议书补充协议》[兴采01-0001协字（2012）001号附件1]及《估价委托书》，估价对象中</w:t>
      </w:r>
      <w:r>
        <w:rPr>
          <w:rFonts w:hint="eastAsia" w:ascii="Arial" w:hAnsi="Arial" w:cs="Arial"/>
          <w:kern w:val="2"/>
          <w:sz w:val="21"/>
          <w:szCs w:val="21"/>
        </w:rPr>
        <w:t>北京市大兴区育林街1号院（育新花园北里）4号楼1单元401号等489套住宅用房，建筑面积37037.43平方米，由北京丽富房地产开发有限公司于2011年通过挂牌方式合法取得并开发，证载产权单位为北京丽富房地产开发有限公司。兴创投资有限公司</w:t>
      </w:r>
      <w:r>
        <w:rPr>
          <w:rFonts w:ascii="Arial" w:hAnsi="Arial" w:cs="Arial"/>
          <w:kern w:val="2"/>
          <w:sz w:val="21"/>
          <w:szCs w:val="21"/>
        </w:rPr>
        <w:t>于房屋建成后，按住宅回购价格 9000元/平方米向该公司完成房源回购，并已于 2014年9月全额付清全部回购款项</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经与估价委托人确认，兴创投资有限公司对上述租赁房屋享有合法、完整的占有、使用、收益及出租的权利，房屋来源合法，不存在任何抵押、租赁、查封等权利受限情形。</w:t>
      </w:r>
    </w:p>
    <w:p w14:paraId="58FC9542">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房屋所有权证》[X京房权证兴字第100091、102139、102135、102136、102140、102137、102138、103831、102031、110683、110394、110393、110397、110396、110395、110392、110389号]、《估价委托书》、《采育数字时尚小镇保障性住房趸组协议》及其附件，估价对象中</w:t>
      </w:r>
      <w:r>
        <w:rPr>
          <w:rFonts w:hint="eastAsia" w:ascii="Arial" w:hAnsi="Arial" w:cs="Arial"/>
          <w:kern w:val="2"/>
          <w:sz w:val="21"/>
          <w:szCs w:val="21"/>
        </w:rPr>
        <w:t>北京市大兴区育林街2号院（育新花园中里）1号楼1单元101号等508套住宅用房，建筑面积42042.19平方米，房屋所有权人为北京兴创投资有限公司，房屋性质均为商品房。</w:t>
      </w:r>
    </w:p>
    <w:p w14:paraId="1DC55029">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根据《房屋所有权证》[X京房权证兴字第103107、103825号]、《估价委托书》、《采育数字时尚小镇保障性住房趸组协议》及其附件，估价对象</w:t>
      </w:r>
      <w:r>
        <w:rPr>
          <w:rFonts w:hint="eastAsia" w:ascii="Arial" w:hAnsi="Arial" w:cs="Arial"/>
          <w:kern w:val="2"/>
          <w:sz w:val="21"/>
          <w:szCs w:val="21"/>
        </w:rPr>
        <w:t>北京市大兴区育林街8号院（育新花园西里）1号楼1单元102号等239套住宅用房，建筑面积19701.92平方米，房屋所有权人为北京兴创投资有限公司，房屋性质均为商品房。</w:t>
      </w:r>
    </w:p>
    <w:p w14:paraId="70E64688">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根据《房屋所有权证》[X京房权证兴字第146943、146944、102030、100093、102028号]、《估价委托书》、《采育数字时尚小镇保障性住房趸组协议》及其附件，估价对象</w:t>
      </w:r>
      <w:r>
        <w:rPr>
          <w:rFonts w:hint="eastAsia" w:ascii="Arial" w:hAnsi="Arial" w:cs="Arial"/>
          <w:kern w:val="2"/>
          <w:sz w:val="21"/>
          <w:szCs w:val="21"/>
        </w:rPr>
        <w:t>北京市大兴区育仁街1号院（育新花园南里）1号楼2单元1501号等88套住宅用房，建筑面积7253.36平方米，房屋所有权人为北京兴创投资有限公司，房屋性质包含商品房、定向安置房。</w:t>
      </w:r>
    </w:p>
    <w:p w14:paraId="10A4CBD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另根据《北京市大兴区住房和城乡建设委员会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关于采育数字时尚小镇保障性住房相关事宜专题会会议纪要》、《采育数字时尚小镇保障性住房趸组协议》及其附件、《估价委托书》，估价对象为</w:t>
      </w:r>
      <w:r>
        <w:rPr>
          <w:rFonts w:hint="eastAsia" w:ascii="Arial" w:hAnsi="Arial" w:cs="Arial"/>
          <w:kern w:val="2"/>
          <w:sz w:val="21"/>
          <w:szCs w:val="21"/>
        </w:rPr>
        <w:t>北京市大兴区采育数字时尚小镇（育新花园）共计1324套住宅用房，其中已转化人才公租房500套（现状为</w:t>
      </w:r>
      <w:r>
        <w:rPr>
          <w:rFonts w:hint="eastAsia" w:ascii="Arial" w:hAnsi="Arial" w:cs="Arial"/>
          <w:kern w:val="2"/>
          <w:sz w:val="21"/>
          <w:szCs w:val="21"/>
          <w:lang w:eastAsia="zh-CN"/>
        </w:rPr>
        <w:t>全装修</w:t>
      </w:r>
      <w:r>
        <w:rPr>
          <w:rFonts w:hint="eastAsia" w:ascii="Arial" w:hAnsi="Arial" w:cs="Arial"/>
          <w:kern w:val="2"/>
          <w:sz w:val="21"/>
          <w:szCs w:val="21"/>
        </w:rPr>
        <w:t>），安置房剩余房源824套（现状为毛坯），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由北京市大兴区保障性住房建设投资有限公司负责房源出租及运营管理。估价对象</w:t>
      </w:r>
      <w:r>
        <w:rPr>
          <w:rFonts w:hint="eastAsia" w:ascii="Arial" w:hAnsi="Arial" w:cs="Arial"/>
          <w:sz w:val="21"/>
          <w:szCs w:val="21"/>
        </w:rPr>
        <w:t>具体情况如下：</w:t>
      </w:r>
    </w:p>
    <w:p w14:paraId="7124F4A7">
      <w:pPr>
        <w:overflowPunct w:val="0"/>
        <w:spacing w:line="36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008"/>
        <w:gridCol w:w="612"/>
        <w:gridCol w:w="924"/>
        <w:gridCol w:w="1604"/>
      </w:tblGrid>
      <w:tr w14:paraId="5CCA3F40">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036C66D1">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63E2FB2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008" w:type="dxa"/>
            <w:tcBorders>
              <w:top w:val="single" w:color="auto" w:sz="4" w:space="0"/>
              <w:left w:val="nil"/>
              <w:bottom w:val="single" w:color="auto" w:sz="4" w:space="0"/>
              <w:right w:val="single" w:color="auto" w:sz="4" w:space="0"/>
            </w:tcBorders>
            <w:noWrap/>
            <w:vAlign w:val="center"/>
          </w:tcPr>
          <w:p w14:paraId="1309018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612" w:type="dxa"/>
            <w:tcBorders>
              <w:top w:val="single" w:color="auto" w:sz="4" w:space="0"/>
              <w:left w:val="nil"/>
              <w:bottom w:val="single" w:color="auto" w:sz="4" w:space="0"/>
              <w:right w:val="single" w:color="auto" w:sz="4" w:space="0"/>
            </w:tcBorders>
            <w:noWrap/>
            <w:vAlign w:val="center"/>
          </w:tcPr>
          <w:p w14:paraId="7914B779">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924" w:type="dxa"/>
            <w:tcBorders>
              <w:top w:val="single" w:color="auto" w:sz="4" w:space="0"/>
              <w:left w:val="nil"/>
              <w:bottom w:val="single" w:color="auto" w:sz="4" w:space="0"/>
              <w:right w:val="single" w:color="auto" w:sz="4" w:space="0"/>
            </w:tcBorders>
            <w:noWrap/>
            <w:vAlign w:val="center"/>
          </w:tcPr>
          <w:p w14:paraId="318A3090">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604" w:type="dxa"/>
            <w:tcBorders>
              <w:top w:val="single" w:color="auto" w:sz="4" w:space="0"/>
              <w:left w:val="nil"/>
              <w:bottom w:val="single" w:color="auto" w:sz="4" w:space="0"/>
              <w:right w:val="single" w:color="auto" w:sz="4" w:space="0"/>
            </w:tcBorders>
            <w:noWrap/>
            <w:vAlign w:val="center"/>
          </w:tcPr>
          <w:p w14:paraId="71D9803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4F4CC206">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15F787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62DB19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008" w:type="dxa"/>
            <w:tcBorders>
              <w:top w:val="nil"/>
              <w:left w:val="nil"/>
              <w:bottom w:val="single" w:color="auto" w:sz="4" w:space="0"/>
              <w:right w:val="single" w:color="auto" w:sz="4" w:space="0"/>
            </w:tcBorders>
            <w:noWrap/>
            <w:vAlign w:val="center"/>
          </w:tcPr>
          <w:p w14:paraId="197EFDE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612" w:type="dxa"/>
            <w:tcBorders>
              <w:top w:val="nil"/>
              <w:left w:val="nil"/>
              <w:bottom w:val="single" w:color="auto" w:sz="4" w:space="0"/>
              <w:right w:val="single" w:color="auto" w:sz="4" w:space="0"/>
            </w:tcBorders>
            <w:noWrap/>
            <w:vAlign w:val="center"/>
          </w:tcPr>
          <w:p w14:paraId="67B8B023">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8DBC9F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604" w:type="dxa"/>
            <w:tcBorders>
              <w:top w:val="nil"/>
              <w:left w:val="nil"/>
              <w:bottom w:val="single" w:color="auto" w:sz="4" w:space="0"/>
              <w:right w:val="single" w:color="auto" w:sz="4" w:space="0"/>
            </w:tcBorders>
            <w:noWrap/>
            <w:vAlign w:val="center"/>
          </w:tcPr>
          <w:p w14:paraId="2DAE993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65687B7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039EC905">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67514F2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47393F3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4D33FBB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5F801B7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604" w:type="dxa"/>
            <w:tcBorders>
              <w:top w:val="nil"/>
              <w:left w:val="nil"/>
              <w:bottom w:val="single" w:color="auto" w:sz="4" w:space="0"/>
              <w:right w:val="single" w:color="auto" w:sz="4" w:space="0"/>
            </w:tcBorders>
            <w:noWrap/>
            <w:vAlign w:val="center"/>
          </w:tcPr>
          <w:p w14:paraId="733C279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61BA5C16">
        <w:trPr>
          <w:trHeight w:val="1103" w:hRule="atLeast"/>
        </w:trPr>
        <w:tc>
          <w:tcPr>
            <w:tcW w:w="779" w:type="dxa"/>
            <w:vMerge w:val="restart"/>
            <w:tcBorders>
              <w:top w:val="nil"/>
              <w:left w:val="single" w:color="auto" w:sz="4" w:space="0"/>
              <w:right w:val="single" w:color="auto" w:sz="4" w:space="0"/>
            </w:tcBorders>
            <w:noWrap/>
            <w:vAlign w:val="center"/>
          </w:tcPr>
          <w:p w14:paraId="521896E5">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6A6DA66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008" w:type="dxa"/>
            <w:tcBorders>
              <w:top w:val="nil"/>
              <w:left w:val="nil"/>
              <w:bottom w:val="single" w:color="auto" w:sz="4" w:space="0"/>
              <w:right w:val="single" w:color="auto" w:sz="4" w:space="0"/>
            </w:tcBorders>
            <w:noWrap/>
            <w:vAlign w:val="center"/>
          </w:tcPr>
          <w:p w14:paraId="56E6028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612" w:type="dxa"/>
            <w:tcBorders>
              <w:top w:val="nil"/>
              <w:left w:val="nil"/>
              <w:bottom w:val="single" w:color="auto" w:sz="4" w:space="0"/>
              <w:right w:val="single" w:color="auto" w:sz="4" w:space="0"/>
            </w:tcBorders>
            <w:noWrap/>
            <w:vAlign w:val="center"/>
          </w:tcPr>
          <w:p w14:paraId="02A32275">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2A418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604" w:type="dxa"/>
            <w:tcBorders>
              <w:top w:val="nil"/>
              <w:left w:val="nil"/>
              <w:bottom w:val="single" w:color="auto" w:sz="4" w:space="0"/>
              <w:right w:val="single" w:color="auto" w:sz="4" w:space="0"/>
            </w:tcBorders>
            <w:noWrap/>
            <w:vAlign w:val="center"/>
          </w:tcPr>
          <w:p w14:paraId="2896EC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98FD918">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41F4567">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E27304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008" w:type="dxa"/>
            <w:tcBorders>
              <w:top w:val="nil"/>
              <w:left w:val="nil"/>
              <w:bottom w:val="single" w:color="auto" w:sz="4" w:space="0"/>
              <w:right w:val="single" w:color="auto" w:sz="4" w:space="0"/>
            </w:tcBorders>
            <w:noWrap/>
            <w:vAlign w:val="center"/>
          </w:tcPr>
          <w:p w14:paraId="34476D1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612" w:type="dxa"/>
            <w:tcBorders>
              <w:top w:val="nil"/>
              <w:left w:val="nil"/>
              <w:bottom w:val="single" w:color="auto" w:sz="4" w:space="0"/>
              <w:right w:val="single" w:color="auto" w:sz="4" w:space="0"/>
            </w:tcBorders>
            <w:noWrap/>
            <w:vAlign w:val="center"/>
          </w:tcPr>
          <w:p w14:paraId="3DC10A09">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924" w:type="dxa"/>
            <w:tcBorders>
              <w:top w:val="nil"/>
              <w:left w:val="nil"/>
              <w:bottom w:val="single" w:color="auto" w:sz="4" w:space="0"/>
              <w:right w:val="single" w:color="auto" w:sz="4" w:space="0"/>
            </w:tcBorders>
            <w:noWrap/>
            <w:vAlign w:val="center"/>
          </w:tcPr>
          <w:p w14:paraId="7E920E7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604" w:type="dxa"/>
            <w:tcBorders>
              <w:top w:val="nil"/>
              <w:left w:val="nil"/>
              <w:bottom w:val="single" w:color="auto" w:sz="4" w:space="0"/>
              <w:right w:val="single" w:color="auto" w:sz="4" w:space="0"/>
            </w:tcBorders>
            <w:noWrap/>
            <w:vAlign w:val="center"/>
          </w:tcPr>
          <w:p w14:paraId="6D5332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4D5AAB86">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7998884A">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0AC129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55A0D57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44C11FF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1915931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604" w:type="dxa"/>
            <w:tcBorders>
              <w:top w:val="nil"/>
              <w:left w:val="nil"/>
              <w:bottom w:val="single" w:color="auto" w:sz="4" w:space="0"/>
              <w:right w:val="single" w:color="auto" w:sz="4" w:space="0"/>
            </w:tcBorders>
            <w:noWrap/>
            <w:vAlign w:val="center"/>
          </w:tcPr>
          <w:p w14:paraId="31B87A9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4791688D">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7210017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649671A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008" w:type="dxa"/>
            <w:tcBorders>
              <w:top w:val="nil"/>
              <w:left w:val="nil"/>
              <w:bottom w:val="single" w:color="auto" w:sz="4" w:space="0"/>
              <w:right w:val="single" w:color="auto" w:sz="4" w:space="0"/>
            </w:tcBorders>
            <w:noWrap/>
            <w:vAlign w:val="center"/>
          </w:tcPr>
          <w:p w14:paraId="7EAAC9D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612" w:type="dxa"/>
            <w:tcBorders>
              <w:top w:val="nil"/>
              <w:left w:val="nil"/>
              <w:bottom w:val="single" w:color="auto" w:sz="4" w:space="0"/>
              <w:right w:val="single" w:color="auto" w:sz="4" w:space="0"/>
            </w:tcBorders>
            <w:noWrap/>
            <w:vAlign w:val="center"/>
          </w:tcPr>
          <w:p w14:paraId="607BB8F8">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BC5DBF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604" w:type="dxa"/>
            <w:tcBorders>
              <w:top w:val="nil"/>
              <w:left w:val="nil"/>
              <w:bottom w:val="single" w:color="auto" w:sz="4" w:space="0"/>
              <w:right w:val="single" w:color="auto" w:sz="4" w:space="0"/>
            </w:tcBorders>
            <w:noWrap/>
            <w:vAlign w:val="center"/>
          </w:tcPr>
          <w:p w14:paraId="33DF981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17A3F03F">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A5FB37F">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E8FF5F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3F4BC1E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1A1EA81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780BC58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604" w:type="dxa"/>
            <w:tcBorders>
              <w:top w:val="nil"/>
              <w:left w:val="nil"/>
              <w:bottom w:val="single" w:color="auto" w:sz="4" w:space="0"/>
              <w:right w:val="single" w:color="auto" w:sz="4" w:space="0"/>
            </w:tcBorders>
            <w:noWrap/>
            <w:vAlign w:val="center"/>
          </w:tcPr>
          <w:p w14:paraId="32B0CFF7">
            <w:pPr>
              <w:widowControl/>
              <w:adjustRightInd/>
              <w:spacing w:line="240" w:lineRule="auto"/>
              <w:jc w:val="center"/>
              <w:textAlignment w:val="auto"/>
              <w:rPr>
                <w:rFonts w:hint="eastAsia" w:ascii="华文细黑" w:hAnsi="华文细黑" w:eastAsia="华文细黑" w:cs="Arial"/>
                <w:b/>
                <w:bCs/>
                <w:sz w:val="18"/>
                <w:szCs w:val="18"/>
                <w:lang w:eastAsia="zh-CN"/>
              </w:rPr>
            </w:pPr>
            <w:r>
              <w:rPr>
                <w:rFonts w:hint="eastAsia" w:ascii="华文细黑" w:hAnsi="华文细黑" w:eastAsia="华文细黑" w:cs="Arial"/>
                <w:b/>
                <w:bCs/>
                <w:sz w:val="18"/>
                <w:szCs w:val="18"/>
                <w:lang w:eastAsia="zh-CN"/>
              </w:rPr>
              <w:t>1561.82</w:t>
            </w:r>
          </w:p>
        </w:tc>
      </w:tr>
      <w:tr w14:paraId="04C16EC4">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78FF5E74">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64E56DBF">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008" w:type="dxa"/>
            <w:tcBorders>
              <w:top w:val="nil"/>
              <w:left w:val="nil"/>
              <w:bottom w:val="single" w:color="auto" w:sz="4" w:space="0"/>
              <w:right w:val="single" w:color="auto" w:sz="4" w:space="0"/>
            </w:tcBorders>
            <w:noWrap/>
            <w:vAlign w:val="center"/>
          </w:tcPr>
          <w:p w14:paraId="56F9218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3351132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1C70FB0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604" w:type="dxa"/>
            <w:tcBorders>
              <w:top w:val="nil"/>
              <w:left w:val="nil"/>
              <w:bottom w:val="single" w:color="auto" w:sz="4" w:space="0"/>
              <w:right w:val="single" w:color="auto" w:sz="4" w:space="0"/>
            </w:tcBorders>
            <w:noWrap/>
            <w:vAlign w:val="center"/>
          </w:tcPr>
          <w:p w14:paraId="7BF622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5AF81439">
      <w:pPr>
        <w:overflowPunct w:val="0"/>
        <w:spacing w:before="120" w:beforeLines="50"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1324套住宅用房，其中已转化人才公租房500套现状室内装修情况均为</w:t>
      </w:r>
      <w:r>
        <w:rPr>
          <w:rFonts w:hint="eastAsia" w:ascii="Arial" w:hAnsi="Arial" w:cs="Arial"/>
          <w:kern w:val="2"/>
          <w:sz w:val="21"/>
          <w:szCs w:val="21"/>
          <w:lang w:eastAsia="zh-CN"/>
        </w:rPr>
        <w:t>全装修</w:t>
      </w:r>
      <w:r>
        <w:rPr>
          <w:rFonts w:hint="eastAsia" w:ascii="Arial" w:hAnsi="Arial" w:cs="Arial"/>
          <w:kern w:val="2"/>
          <w:sz w:val="21"/>
          <w:szCs w:val="21"/>
        </w:rPr>
        <w:t>，安置房剩余房源824套现状为毛坯，后续由北京市大兴区保障性住房建设投资有限公司按实际情况分期分批对824套剩余房源进行装修，估价对象全部房源均按照</w:t>
      </w:r>
      <w:r>
        <w:rPr>
          <w:rFonts w:hint="eastAsia" w:ascii="Arial" w:hAnsi="Arial" w:cs="Arial"/>
          <w:kern w:val="2"/>
          <w:sz w:val="21"/>
          <w:szCs w:val="21"/>
          <w:lang w:eastAsia="zh-CN"/>
        </w:rPr>
        <w:t>全装修</w:t>
      </w:r>
      <w:r>
        <w:rPr>
          <w:rFonts w:hint="eastAsia" w:ascii="Arial" w:hAnsi="Arial" w:cs="Arial"/>
          <w:kern w:val="2"/>
          <w:sz w:val="21"/>
          <w:szCs w:val="21"/>
        </w:rPr>
        <w:t>标准配租，故本次评估室内装修情况均设定为</w:t>
      </w:r>
      <w:r>
        <w:rPr>
          <w:rFonts w:hint="eastAsia" w:ascii="Arial" w:hAnsi="Arial" w:cs="Arial"/>
          <w:kern w:val="2"/>
          <w:sz w:val="21"/>
          <w:szCs w:val="21"/>
          <w:lang w:eastAsia="zh-CN"/>
        </w:rPr>
        <w:t>全装修</w:t>
      </w:r>
      <w:r>
        <w:rPr>
          <w:rFonts w:hint="eastAsia" w:ascii="Arial" w:hAnsi="Arial" w:cs="Arial"/>
          <w:kern w:val="2"/>
          <w:sz w:val="21"/>
          <w:szCs w:val="21"/>
        </w:rPr>
        <w:t>。</w:t>
      </w:r>
    </w:p>
    <w:p w14:paraId="6AB3AA08">
      <w:pPr>
        <w:rPr>
          <w:rFonts w:ascii="Arial" w:hAnsi="Arial" w:cs="Arial"/>
          <w:kern w:val="2"/>
          <w:sz w:val="21"/>
          <w:szCs w:val="21"/>
        </w:rPr>
      </w:pPr>
      <w:r>
        <w:rPr>
          <w:rFonts w:hint="eastAsia" w:ascii="Arial" w:hAnsi="Arial" w:cs="Arial"/>
          <w:kern w:val="2"/>
          <w:sz w:val="21"/>
          <w:szCs w:val="21"/>
        </w:rPr>
        <w:br w:type="page"/>
      </w:r>
    </w:p>
    <w:p w14:paraId="55B0277C">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7652C733">
      <w:pPr>
        <w:overflowPunct w:val="0"/>
        <w:spacing w:line="480" w:lineRule="auto"/>
        <w:jc w:val="center"/>
        <w:textAlignment w:val="auto"/>
        <w:rPr>
          <w:rFonts w:ascii="Arial" w:hAnsi="Arial" w:cs="Arial"/>
          <w:kern w:val="2"/>
          <w:sz w:val="21"/>
          <w:szCs w:val="21"/>
        </w:rPr>
      </w:pPr>
      <w:r>
        <mc:AlternateContent>
          <mc:Choice Requires="wps">
            <w:drawing>
              <wp:anchor distT="0" distB="0" distL="114300" distR="114300" simplePos="0" relativeHeight="251662336" behindDoc="0" locked="0" layoutInCell="1" allowOverlap="1">
                <wp:simplePos x="0" y="0"/>
                <wp:positionH relativeFrom="column">
                  <wp:posOffset>3472180</wp:posOffset>
                </wp:positionH>
                <wp:positionV relativeFrom="paragraph">
                  <wp:posOffset>2343785</wp:posOffset>
                </wp:positionV>
                <wp:extent cx="1057275" cy="390525"/>
                <wp:effectExtent l="4445" t="287655" r="5080" b="7620"/>
                <wp:wrapNone/>
                <wp:docPr id="28"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6216"/>
                            <a:gd name="adj2" fmla="val -120081"/>
                            <a:gd name="adj3" fmla="val 16667"/>
                          </a:avLst>
                        </a:prstGeom>
                        <a:solidFill>
                          <a:srgbClr val="FF0000"/>
                        </a:solidFill>
                        <a:ln w="9525">
                          <a:solidFill>
                            <a:srgbClr val="000000"/>
                          </a:solidFill>
                          <a:miter lim="800000"/>
                        </a:ln>
                      </wps:spPr>
                      <wps:txbx>
                        <w:txbxContent>
                          <w:p w14:paraId="10199010">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73.4pt;margin-top:184.55pt;height:30.75pt;width:83.25pt;z-index:251662336;mso-width-relative:page;mso-height-relative:page;" fillcolor="#FF0000" filled="t" stroked="t" coordsize="21600,21600" o:gfxdata="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TmrcvXAAAACwEAAA8AAAAAAAAAAQAgAAAAIgAA&#10;AGRycy9kb3ducmV2LnhtbFBLAQIUABQAAAAIAIdO4kA3vgf8ewIAAAoFAAAOAAAAAAAAAAEAIAAA&#10;ACYBAABkcnMvZTJvRG9jLnhtbFBLBQYAAAAABgAGAFkBAAATBgAAAAA=&#10;" adj="817,-15137,14400">
                <v:fill on="t" focussize="0,0"/>
                <v:stroke color="#000000" miterlimit="8" joinstyle="miter"/>
                <v:imagedata o:title=""/>
                <o:lock v:ext="edit" aspectratio="f"/>
                <v:textbox>
                  <w:txbxContent>
                    <w:p w14:paraId="10199010">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1452880</wp:posOffset>
                </wp:positionH>
                <wp:positionV relativeFrom="paragraph">
                  <wp:posOffset>819785</wp:posOffset>
                </wp:positionV>
                <wp:extent cx="1057275" cy="390525"/>
                <wp:effectExtent l="4445" t="4445" r="203200" b="458470"/>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6216"/>
                            <a:gd name="adj2" fmla="val 160894"/>
                            <a:gd name="adj3" fmla="val 16667"/>
                          </a:avLst>
                        </a:prstGeom>
                        <a:solidFill>
                          <a:srgbClr val="FF0000"/>
                        </a:solidFill>
                        <a:ln w="9525">
                          <a:solidFill>
                            <a:srgbClr val="000000"/>
                          </a:solidFill>
                          <a:miter lim="800000"/>
                        </a:ln>
                      </wps:spPr>
                      <wps:txbx>
                        <w:txbxContent>
                          <w:p w14:paraId="1ADAECEC">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14.4pt;margin-top:64.55pt;height:30.75pt;width:83.25pt;z-index:251661312;mso-width-relative:page;mso-height-relative:page;" fillcolor="#FF0000" filled="t" stroked="t" coordsize="21600,21600" o:gfxdata="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n8anjaAAAACwEAAA8AAAAAAAAAAQAgAAAAIgAA&#10;AGRycy9kb3ducmV2LnhtbFBLAQIUABQAAAAIAIdO4kAZy93HeAIAAAgFAAAOAAAAAAAAAAEAIAAA&#10;ACkBAABkcnMvZTJvRG9jLnhtbFBLBQYAAAAABgAGAFkBAAATBgAAAAA=&#10;" adj="25103,45553,14400">
                <v:fill on="t" focussize="0,0"/>
                <v:stroke color="#000000" miterlimit="8" joinstyle="miter"/>
                <v:imagedata o:title=""/>
                <o:lock v:ext="edit" aspectratio="f"/>
                <v:textbox>
                  <w:txbxContent>
                    <w:p w14:paraId="1ADAECEC">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1993900</wp:posOffset>
                </wp:positionH>
                <wp:positionV relativeFrom="paragraph">
                  <wp:posOffset>133985</wp:posOffset>
                </wp:positionV>
                <wp:extent cx="1057275" cy="390525"/>
                <wp:effectExtent l="4445" t="4445" r="157480" b="549910"/>
                <wp:wrapNone/>
                <wp:docPr id="5"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1891"/>
                            <a:gd name="adj2" fmla="val 184308"/>
                            <a:gd name="adj3" fmla="val 16667"/>
                          </a:avLst>
                        </a:prstGeom>
                        <a:solidFill>
                          <a:srgbClr val="FF0000"/>
                        </a:solidFill>
                        <a:ln w="9525">
                          <a:solidFill>
                            <a:srgbClr val="000000"/>
                          </a:solidFill>
                          <a:miter lim="800000"/>
                        </a:ln>
                      </wps:spPr>
                      <wps:txbx>
                        <w:txbxContent>
                          <w:p w14:paraId="4D256E4F">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57pt;margin-top:10.55pt;height:30.75pt;width:83.25pt;z-index:251660288;mso-width-relative:page;mso-height-relative:page;" fillcolor="#FF0000" filled="t" stroked="t" coordsize="21600,21600" o:gfxdata="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G3ibrYAAAACQEAAA8AAAAAAAAAAQAgAAAAIgAA&#10;AGRycy9kb3ducmV2LnhtbFBLAQIUABQAAAAIAIdO4kD6e6fgegIAAAcFAAAOAAAAAAAAAAEAIAAA&#10;ACcBAABkcnMvZTJvRG9jLnhtbFBLBQYAAAAABgAGAFkBAAATBgAAAAA=&#10;" adj="24168,50611,14400">
                <v:fill on="t" focussize="0,0"/>
                <v:stroke color="#000000" miterlimit="8" joinstyle="miter"/>
                <v:imagedata o:title=""/>
                <o:lock v:ext="edit" aspectratio="f"/>
                <v:textbox>
                  <w:txbxContent>
                    <w:p w14:paraId="4D256E4F">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3319780</wp:posOffset>
                </wp:positionH>
                <wp:positionV relativeFrom="paragraph">
                  <wp:posOffset>507365</wp:posOffset>
                </wp:positionV>
                <wp:extent cx="1057275" cy="390525"/>
                <wp:effectExtent l="4445" t="4445" r="5080" b="610870"/>
                <wp:wrapNone/>
                <wp:docPr id="559770231"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7657"/>
                            <a:gd name="adj2" fmla="val 199918"/>
                            <a:gd name="adj3" fmla="val 16667"/>
                          </a:avLst>
                        </a:prstGeom>
                        <a:solidFill>
                          <a:srgbClr val="FF0000"/>
                        </a:solidFill>
                        <a:ln w="9525">
                          <a:solidFill>
                            <a:srgbClr val="000000"/>
                          </a:solidFill>
                          <a:miter lim="800000"/>
                        </a:ln>
                      </wps:spPr>
                      <wps:txbx>
                        <w:txbxContent>
                          <w:p w14:paraId="30EB2729">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61.4pt;margin-top:39.95pt;height:30.75pt;width:83.25pt;z-index:251659264;mso-width-relative:page;mso-height-relative:page;" fillcolor="#FF0000" filled="t" stroked="t" coordsize="21600,21600" o:gfxdata="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Y62rTbAAAACgEAAA8AAAAAAAAA&#10;AQAgAAAAIgAAAGRycy9kb3ducmV2LnhtbFBLAQIUABQAAAAIAIdO4kAFXZsqgAIAABAFAAAOAAAA&#10;AAAAAAEAIAAAACoBAABkcnMvZTJvRG9jLnhtbFBLBQYAAAAABgAGAFkBAAAcBgAAAAA=&#10;" adj="506,53982,14400">
                <v:fill on="t" focussize="0,0"/>
                <v:stroke color="#000000" miterlimit="8" joinstyle="miter"/>
                <v:imagedata o:title=""/>
                <o:lock v:ext="edit" aspectratio="f"/>
                <v:textbox>
                  <w:txbxContent>
                    <w:p w14:paraId="30EB2729">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v:textbox>
              </v:shape>
            </w:pict>
          </mc:Fallback>
        </mc:AlternateContent>
      </w:r>
      <w:r>
        <w:drawing>
          <wp:inline distT="0" distB="0" distL="114300" distR="114300">
            <wp:extent cx="4674870" cy="3115310"/>
            <wp:effectExtent l="0" t="0" r="381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4674870" cy="3115310"/>
                    </a:xfrm>
                    <a:prstGeom prst="rect">
                      <a:avLst/>
                    </a:prstGeom>
                    <a:noFill/>
                    <a:ln>
                      <a:noFill/>
                    </a:ln>
                  </pic:spPr>
                </pic:pic>
              </a:graphicData>
            </a:graphic>
          </wp:inline>
        </w:drawing>
      </w:r>
    </w:p>
    <w:p w14:paraId="7F351B3B">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44B0FED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根据《采育数字时尚小镇保障性住房趸组协议》及其附件及《房屋所有权证》[X京房权证兴字第144437、144436、144435、144444、1444440、144439、144442、144443、144449、144445、144447、194022号]，估价对象中</w:t>
      </w:r>
      <w:r>
        <w:rPr>
          <w:rFonts w:hint="eastAsia" w:ascii="Arial" w:hAnsi="Arial" w:cs="Arial"/>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kern w:val="2"/>
          <w:sz w:val="21"/>
          <w:szCs w:val="21"/>
        </w:rPr>
        <w:t>于房屋建成后回购</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报告出具日，上述房屋尚未办理不动产权变更登记。所属宗地现状四至为东至育仁街，南至育林街，西至福源路，北至育胜街。</w:t>
      </w:r>
    </w:p>
    <w:p w14:paraId="39C5CF4A">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7B3FBD2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242D779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07CAD8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05CED20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36EC9763">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w:t>
      </w:r>
      <w:r>
        <w:rPr>
          <w:rFonts w:hint="eastAsia" w:ascii="Arial" w:hAnsi="Arial" w:cs="Arial"/>
          <w:kern w:val="2"/>
          <w:sz w:val="21"/>
          <w:szCs w:val="21"/>
        </w:rPr>
        <w:t>”</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098551A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18F5157F">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5D971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w:t>
      </w:r>
      <w:r>
        <w:rPr>
          <w:rFonts w:ascii="Arial" w:hAnsi="Arial" w:cs="Arial"/>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0DC6D45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sz w:val="21"/>
          <w:szCs w:val="21"/>
        </w:rPr>
        <w:t>估价对象具体情况如下：</w:t>
      </w:r>
    </w:p>
    <w:p w14:paraId="5FD9E333">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1467439D">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3702A3E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70FB8DD1">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085F76F0">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5BDECAB3">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613E7B4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6DDD00CC">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3CA6213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839A712">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792FE5A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77EAEA2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0360AAED">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9258F6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563968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589BCDAB">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0B321154">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2550FBB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784BF24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72494CE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8B7982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0230140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53755941">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7DC3FA53">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2FA4913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4FC3044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46DA2866">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2B85E68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42C6CE1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B008DCB">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7C3DD416">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EC79A8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77981FB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32E9A6AB">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78AA8E2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5A802B6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67ACD62F">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481B5C12">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702DF84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0D74D87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FB8A69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3AB30D0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768C970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0B005C9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29C7B70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44D201E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4A20D54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348BC27A">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54148EC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5E6E7EF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33CA12FF">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85EB97F">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3B677B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189EE8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19B72CF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08C4376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2CBC26B7">
            <w:pPr>
              <w:widowControl/>
              <w:adjustRightInd/>
              <w:spacing w:line="240" w:lineRule="auto"/>
              <w:jc w:val="center"/>
              <w:textAlignment w:val="auto"/>
              <w:rPr>
                <w:rFonts w:hint="eastAsia" w:ascii="华文细黑" w:hAnsi="华文细黑" w:eastAsia="华文细黑" w:cs="Arial"/>
                <w:b/>
                <w:bCs/>
                <w:sz w:val="18"/>
                <w:szCs w:val="18"/>
                <w:lang w:eastAsia="zh-CN"/>
              </w:rPr>
            </w:pPr>
            <w:r>
              <w:rPr>
                <w:rFonts w:hint="eastAsia" w:ascii="华文细黑" w:hAnsi="华文细黑" w:eastAsia="华文细黑" w:cs="Arial"/>
                <w:b/>
                <w:bCs/>
                <w:sz w:val="18"/>
                <w:szCs w:val="18"/>
                <w:lang w:eastAsia="zh-CN"/>
              </w:rPr>
              <w:t>1561.82</w:t>
            </w:r>
          </w:p>
        </w:tc>
      </w:tr>
      <w:tr w14:paraId="7E183709">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77BB7DCA">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261B46B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5BAA801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F7459D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01C6A65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6248FAA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677B4A5D">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2"/>
      <w:bookmarkStart w:id="26" w:name="OLE_LINK3"/>
    </w:p>
    <w:p w14:paraId="3833879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00B26FA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4.设施设备及家具家电：估价对象所在项目配套设施完备，给排水、电力、电讯、暖通等齐全；防火栓、安防系统等设备齐全；估价对象内部配备客厅、卧室、厨卫等基本家具家电。估价对象作为住宅</w:t>
      </w:r>
      <w:r>
        <w:rPr>
          <w:rFonts w:hint="eastAsia" w:ascii="Arial" w:hAnsi="Arial" w:cs="Arial"/>
          <w:sz w:val="21"/>
          <w:szCs w:val="21"/>
          <w:lang w:val="en-US" w:eastAsia="zh-CN"/>
        </w:rPr>
        <w:t>用房</w:t>
      </w:r>
      <w:r>
        <w:rPr>
          <w:rFonts w:hint="eastAsia" w:ascii="Arial" w:hAnsi="Arial" w:cs="Arial"/>
          <w:sz w:val="21"/>
          <w:szCs w:val="21"/>
        </w:rPr>
        <w:t>出租使用。</w:t>
      </w:r>
    </w:p>
    <w:p w14:paraId="6C567C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全装修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53B203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sz w:val="21"/>
          <w:szCs w:val="21"/>
        </w:rPr>
        <w:t>%</w:t>
      </w:r>
      <w:r>
        <w:rPr>
          <w:rFonts w:hint="eastAsia" w:ascii="Arial" w:hAnsi="Arial" w:cs="Arial"/>
          <w:sz w:val="21"/>
          <w:szCs w:val="21"/>
        </w:rPr>
        <w:t>。</w:t>
      </w:r>
    </w:p>
    <w:p w14:paraId="4FE2110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sz w:val="21"/>
          <w:szCs w:val="21"/>
        </w:rPr>
        <w:t>%</w:t>
      </w:r>
      <w:r>
        <w:rPr>
          <w:rFonts w:hint="eastAsia" w:ascii="Arial" w:hAnsi="Arial" w:cs="Arial"/>
          <w:sz w:val="21"/>
          <w:szCs w:val="21"/>
        </w:rPr>
        <w:t>。</w:t>
      </w:r>
    </w:p>
    <w:p w14:paraId="75DBA21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7.户型设计：估价对象均为平层结构，分为三种户型，分别为一居室、两居室、三居室。其中一居室378套、两居室933套、三居室13套。</w:t>
      </w:r>
    </w:p>
    <w:p w14:paraId="324B62A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朝向：估价对象一居室、三居室均南北朝向；两居室有南北、南朝向，其中南北朝向916套、南朝向17套。</w:t>
      </w:r>
    </w:p>
    <w:p w14:paraId="05B5205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9.综合服务管理设施：估价对象所属小区为封闭式管理，门口设有快递柜、小区内设有垃圾分类收集点。估价对象商品房享有同样的配套设施，估价对象所在楼栋一层配备管理用房等。</w:t>
      </w:r>
    </w:p>
    <w:p w14:paraId="6113EB1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45B83FB3">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5B3988D3">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住宅用房</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2040F9EB">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74313C98">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根据估价委托人提供的资料及评估专业人员实地查勘，于价值时点，未发现估价对象存在抵押、</w:t>
      </w:r>
      <w:r>
        <w:rPr>
          <w:rFonts w:hint="eastAsia" w:ascii="Arial" w:hAnsi="Arial" w:cs="Arial"/>
          <w:kern w:val="2"/>
          <w:sz w:val="21"/>
          <w:szCs w:val="21"/>
        </w:rPr>
        <w:t>租赁、地役、查封等他项权利</w:t>
      </w:r>
      <w:r>
        <w:rPr>
          <w:rFonts w:hint="eastAsia" w:ascii="Arial" w:hAnsi="Arial" w:cs="Arial"/>
          <w:sz w:val="21"/>
          <w:szCs w:val="21"/>
        </w:rPr>
        <w:t>。</w:t>
      </w:r>
      <w:r>
        <w:rPr>
          <w:rFonts w:hint="eastAsia" w:ascii="Arial" w:hAnsi="Arial" w:cs="Arial"/>
          <w:kern w:val="2"/>
          <w:sz w:val="21"/>
          <w:szCs w:val="21"/>
        </w:rPr>
        <w:t>根据估价目的，本次估价未考虑租赁、地役、查封等他项权利影响，故设定估价对象于价值时点不存在抵押、租赁、地役、查封等他项权利限制。</w:t>
      </w:r>
    </w:p>
    <w:p w14:paraId="1D809888">
      <w:pPr>
        <w:overflowPunct w:val="0"/>
        <w:spacing w:line="480" w:lineRule="auto"/>
        <w:ind w:firstLine="420" w:firstLineChars="200"/>
        <w:jc w:val="both"/>
        <w:textAlignment w:val="auto"/>
        <w:rPr>
          <w:rFonts w:ascii="Arial" w:hAnsi="Arial" w:cs="Arial"/>
          <w:sz w:val="21"/>
          <w:szCs w:val="21"/>
        </w:rPr>
      </w:pPr>
    </w:p>
    <w:p w14:paraId="6F9003E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3AEBE85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2025年12月26日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6F981BEB">
      <w:pPr>
        <w:wordWrap w:val="0"/>
        <w:overflowPunct w:val="0"/>
        <w:spacing w:line="480" w:lineRule="auto"/>
        <w:ind w:firstLine="420" w:firstLineChars="200"/>
        <w:jc w:val="both"/>
        <w:textAlignment w:val="auto"/>
        <w:rPr>
          <w:rFonts w:ascii="Arial" w:hAnsi="Arial" w:cs="Arial"/>
          <w:sz w:val="21"/>
          <w:szCs w:val="21"/>
        </w:rPr>
      </w:pPr>
    </w:p>
    <w:p w14:paraId="0C0F8304">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104A98EB">
      <w:pPr>
        <w:spacing w:line="480" w:lineRule="auto"/>
        <w:rPr>
          <w:rFonts w:ascii="Arial" w:hAnsi="Arial" w:cs="Arial"/>
          <w:b/>
          <w:kern w:val="2"/>
          <w:sz w:val="21"/>
          <w:szCs w:val="21"/>
        </w:rPr>
      </w:pPr>
      <w:r>
        <w:rPr>
          <w:rFonts w:hint="eastAsia" w:ascii="Arial" w:hAnsi="Arial" w:cs="Arial"/>
          <w:b/>
          <w:kern w:val="2"/>
          <w:sz w:val="21"/>
          <w:szCs w:val="21"/>
        </w:rPr>
        <w:t>（一）价值类型</w:t>
      </w:r>
    </w:p>
    <w:p w14:paraId="3582C1B8">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ascii="Arial" w:hAnsi="Arial" w:cs="Arial"/>
          <w:sz w:val="21"/>
          <w:szCs w:val="21"/>
        </w:rPr>
        <w:t xml:space="preserve"> </w:t>
      </w:r>
    </w:p>
    <w:p w14:paraId="29C57C82">
      <w:pPr>
        <w:spacing w:line="480" w:lineRule="auto"/>
        <w:rPr>
          <w:rFonts w:ascii="Arial" w:hAnsi="Arial" w:cs="Arial"/>
          <w:b/>
          <w:kern w:val="2"/>
          <w:sz w:val="21"/>
          <w:szCs w:val="21"/>
        </w:rPr>
      </w:pPr>
      <w:r>
        <w:rPr>
          <w:rFonts w:hint="eastAsia" w:ascii="Arial" w:hAnsi="Arial" w:cs="Arial"/>
          <w:b/>
          <w:kern w:val="2"/>
          <w:sz w:val="21"/>
          <w:szCs w:val="21"/>
        </w:rPr>
        <w:t>（二）设定条件</w:t>
      </w:r>
    </w:p>
    <w:p w14:paraId="31E42070">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房地产于价值时点2025年12月26日，</w:t>
      </w:r>
      <w:r>
        <w:rPr>
          <w:rFonts w:ascii="Arial" w:hAnsi="Arial" w:cs="Arial"/>
          <w:sz w:val="21"/>
          <w:szCs w:val="21"/>
        </w:rPr>
        <w:t>估价对象在规划利用条件及下述设定条件下</w:t>
      </w:r>
      <w:r>
        <w:rPr>
          <w:rFonts w:hint="eastAsia" w:ascii="Arial" w:hAnsi="Arial" w:cs="Arial"/>
          <w:sz w:val="21"/>
          <w:szCs w:val="21"/>
        </w:rPr>
        <w:t>项目同地段、同品质住宅用房房地产</w:t>
      </w:r>
      <w:r>
        <w:rPr>
          <w:rFonts w:ascii="Arial" w:hAnsi="Arial" w:cs="Arial"/>
          <w:sz w:val="21"/>
          <w:szCs w:val="21"/>
        </w:rPr>
        <w:t>的市场租金价格：</w:t>
      </w:r>
    </w:p>
    <w:p w14:paraId="0111C077">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10BF79D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68225819"/>
      <w:bookmarkStart w:id="32" w:name="_Toc155267092"/>
      <w:r>
        <w:rPr>
          <w:rFonts w:eastAsia="宋体"/>
          <w:kern w:val="2"/>
          <w:sz w:val="21"/>
          <w:szCs w:val="21"/>
        </w:rPr>
        <w:t>七、估价原则</w:t>
      </w:r>
      <w:bookmarkEnd w:id="31"/>
      <w:bookmarkEnd w:id="32"/>
    </w:p>
    <w:p w14:paraId="76ACCD8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3AE0980E">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02DE2D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0C6F5F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2874DA1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018CF019">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关于采育数字时尚小镇保障性住房相关事宜专题会会议纪要》、《房屋所有权证》[X京房权证兴字第144437、144436、144435、144444、1444440、144439、144442、144443、144449、144445、144447、194022号]</w:t>
      </w:r>
      <w:r>
        <w:rPr>
          <w:rFonts w:hint="eastAsia" w:ascii="Arial" w:hAnsi="Arial" w:cs="Arial"/>
          <w:kern w:val="2"/>
          <w:sz w:val="21"/>
          <w:szCs w:val="21"/>
        </w:rPr>
        <w:t>、</w:t>
      </w:r>
      <w:r>
        <w:rPr>
          <w:rFonts w:hint="eastAsia" w:ascii="Arial" w:hAnsi="Arial" w:cs="Arial"/>
          <w:sz w:val="21"/>
          <w:szCs w:val="21"/>
        </w:rPr>
        <w:t>《房屋所有权证》[X京房权证兴字第100091、102139、102135、102136、102140、102137、102138、103831、102031、110683、110394、110393、110397、110396、110395、110392、110389号]、《房屋所有权证》[X京房权证兴字第103107、103825号]、《房屋所有权证》[X京房权证兴字第146943、146944、102030、100093、102028号]、《采育数字时尚小镇保障性住房趸组协议》及其附件</w:t>
      </w:r>
      <w:r>
        <w:rPr>
          <w:rFonts w:hint="eastAsia" w:ascii="Arial" w:hAnsi="Arial" w:cs="Arial"/>
          <w:kern w:val="2"/>
          <w:sz w:val="21"/>
          <w:szCs w:val="21"/>
        </w:rPr>
        <w:t>，产权合法，使用合法。</w:t>
      </w:r>
    </w:p>
    <w:p w14:paraId="6FE8FDC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2C33DAA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4950D31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24C0243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6CC38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12C468E3">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3082457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4BF49D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A788D24">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5A09BB4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73B60FC8">
      <w:pPr>
        <w:wordWrap w:val="0"/>
        <w:overflowPunct w:val="0"/>
        <w:spacing w:line="480" w:lineRule="auto"/>
        <w:ind w:firstLine="420" w:firstLineChars="200"/>
        <w:jc w:val="both"/>
        <w:textAlignment w:val="auto"/>
        <w:rPr>
          <w:rFonts w:ascii="Arial" w:hAnsi="Arial" w:cs="Arial"/>
          <w:sz w:val="21"/>
          <w:szCs w:val="21"/>
        </w:rPr>
      </w:pPr>
    </w:p>
    <w:p w14:paraId="68F3D89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40B69F0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22376A4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C8D808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2BF0587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52DD9E3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4BEF19D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91E12E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5BC92D8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7.《住房租赁条例》（2025年7月16日中华人民共和国国务院令第812号公布，自2025年9月15日起施行）</w:t>
      </w:r>
    </w:p>
    <w:p w14:paraId="0D2423F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0EFDFB87">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BE3F753">
      <w:pPr>
        <w:numPr>
          <w:ilvl w:val="0"/>
          <w:numId w:val="6"/>
        </w:numPr>
        <w:wordWrap w:val="0"/>
        <w:overflowPunct w:val="0"/>
        <w:spacing w:line="480" w:lineRule="auto"/>
        <w:ind w:left="0" w:firstLine="0"/>
        <w:jc w:val="both"/>
        <w:textAlignment w:val="auto"/>
        <w:rPr>
          <w:rFonts w:ascii="Arial" w:hAnsi="Arial" w:cs="Arial"/>
          <w:b/>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280E7834">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7551AEB">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6C570443">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75E63315">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《国有土地使用证》[京兴国用（2010）出第00133、00134、00135号]部分复印件</w:t>
      </w:r>
    </w:p>
    <w:p w14:paraId="143F379D">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55F42B83">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2C00788E">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66AE4AA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4D2A3E9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《房屋所有权证》[X京房权证兴字第144437、144436、144435、144444、1444440、144439、144442、144443、144449、144445、144447、194022号]复印件</w:t>
      </w:r>
    </w:p>
    <w:p w14:paraId="22AB1084">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《房屋所有权证》[X京房权证兴字第100091、102139、102135、102136、102140、102137、102138、103831、102031、110683、110394、110393、110397、110396、110395、110392、110389号]复印件</w:t>
      </w:r>
    </w:p>
    <w:p w14:paraId="3006485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《房屋所有权证》[X京房权证兴字第103107、103825号]复印件</w:t>
      </w:r>
    </w:p>
    <w:p w14:paraId="0063DCE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《房屋所有权证》[X京房权证兴字第146943、146944、102030、100093、102028号]复印件</w:t>
      </w:r>
    </w:p>
    <w:p w14:paraId="64745089">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5E90FF2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2BA8C7F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《采育数字时尚小镇保障性住房趸组协议》及其附件复印件</w:t>
      </w:r>
    </w:p>
    <w:p w14:paraId="17E86FD9">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3586F6E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13D9F08B">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4B5A44A2">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6FD9F914">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3EC2B9C9">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0FBA11F7">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631184E">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4011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0B1EFD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08943FF5">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3ABDCDB2">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42339DD4">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A7A59E5">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74B127C8">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A82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C20E71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4E4FC5A">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00A759E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02CF783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461911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280CD7A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lang w:eastAsia="zh-CN"/>
              </w:rPr>
              <w:t>全装修</w:t>
            </w:r>
          </w:p>
        </w:tc>
      </w:tr>
      <w:tr w14:paraId="09BF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54B480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431C44C3">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3528B35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4A06338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63F2C2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CBC22E5">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419C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950DC9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C024C5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70801D9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2448E3A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24FC42D">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D2DC8BA">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bl>
    <w:p w14:paraId="18D00F2E">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3212EBD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578D7737">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37C7B5D7">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2A8E73A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757290EB">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1F40EDE">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99631BF">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021112A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02D80CED">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6F8657C1">
      <w:pPr>
        <w:pStyle w:val="60"/>
        <w:wordWrap w:val="0"/>
        <w:overflowPunct w:val="0"/>
        <w:autoSpaceDE w:val="0"/>
        <w:autoSpaceDN w:val="0"/>
        <w:spacing w:line="480" w:lineRule="auto"/>
        <w:ind w:right="142" w:firstLine="420" w:firstLineChars="200"/>
        <w:jc w:val="both"/>
        <w:textAlignment w:val="auto"/>
        <w:rPr>
          <w:rFonts w:ascii="Arial" w:hAnsi="Arial" w:cs="Arial"/>
          <w:sz w:val="21"/>
          <w:szCs w:val="21"/>
        </w:rPr>
      </w:pPr>
    </w:p>
    <w:p w14:paraId="7F11551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55267095"/>
      <w:bookmarkStart w:id="38" w:name="_Toc168225822"/>
      <w:r>
        <w:rPr>
          <w:rFonts w:eastAsia="宋体"/>
          <w:kern w:val="2"/>
          <w:sz w:val="21"/>
          <w:szCs w:val="21"/>
        </w:rPr>
        <w:t>十、估价结果</w:t>
      </w:r>
      <w:bookmarkEnd w:id="37"/>
      <w:bookmarkEnd w:id="38"/>
    </w:p>
    <w:p w14:paraId="6CE17D33">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项目于价值时点2025年12月26日同地段、同品质市场租赁住房租金为： </w:t>
      </w:r>
    </w:p>
    <w:p w14:paraId="3A6E7C33">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一居室（52.63-69.91平方米）：21.46元/平方米·月</w:t>
      </w:r>
    </w:p>
    <w:p w14:paraId="713F8D36">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两居室（72.82-88.38平方米）：17.38元/平方米·月</w:t>
      </w:r>
    </w:p>
    <w:p w14:paraId="689DBC45">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三居室（90.99-129.32平方米）：16.14元/平方米·月</w:t>
      </w:r>
    </w:p>
    <w:p w14:paraId="780B17F8">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综合租金：18.33元/平方米·月</w:t>
      </w:r>
    </w:p>
    <w:p w14:paraId="1DC0D22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C2BACC7">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w:t>
      </w:r>
      <w:r>
        <w:rPr>
          <w:rFonts w:hint="eastAsia" w:ascii="Arial" w:hAnsi="Arial" w:cs="Arial"/>
          <w:sz w:val="18"/>
          <w:szCs w:val="18"/>
          <w:lang w:val="en-US" w:eastAsia="zh-CN"/>
        </w:rPr>
        <w:t>同时</w:t>
      </w:r>
      <w:r>
        <w:rPr>
          <w:rFonts w:hint="eastAsia" w:ascii="Arial" w:hAnsi="Arial" w:cs="Arial"/>
          <w:sz w:val="18"/>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28C2178E">
      <w:pPr>
        <w:overflowPunct w:val="0"/>
        <w:spacing w:line="480" w:lineRule="auto"/>
        <w:ind w:left="720" w:leftChars="150" w:hanging="360" w:hangingChars="200"/>
        <w:jc w:val="both"/>
        <w:textAlignment w:val="auto"/>
        <w:rPr>
          <w:rFonts w:ascii="Arial" w:hAnsi="Arial" w:cs="Arial"/>
          <w:sz w:val="18"/>
          <w:szCs w:val="18"/>
        </w:rPr>
      </w:pPr>
    </w:p>
    <w:p w14:paraId="4496FE1D">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4526911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197C27D8">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1A71AA0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7ACD700D">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537F23D2">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0F0C3B3B">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13355C71">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1AEF434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B66E7A7">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4FF4495B">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73B5C9ED">
            <w:pPr>
              <w:tabs>
                <w:tab w:val="left" w:pos="5160"/>
              </w:tabs>
              <w:overflowPunct w:val="0"/>
              <w:spacing w:line="240" w:lineRule="auto"/>
              <w:rPr>
                <w:rFonts w:ascii="Arial" w:hAnsi="Arial" w:cs="Arial"/>
                <w:sz w:val="21"/>
                <w:szCs w:val="21"/>
              </w:rPr>
            </w:pPr>
          </w:p>
        </w:tc>
        <w:tc>
          <w:tcPr>
            <w:tcW w:w="2582" w:type="dxa"/>
            <w:vAlign w:val="center"/>
          </w:tcPr>
          <w:p w14:paraId="46764E82">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6ACD124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031F7A4">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695EF93E">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08922211">
            <w:pPr>
              <w:tabs>
                <w:tab w:val="left" w:pos="5160"/>
              </w:tabs>
              <w:overflowPunct w:val="0"/>
              <w:spacing w:line="240" w:lineRule="auto"/>
              <w:rPr>
                <w:rFonts w:ascii="Arial" w:hAnsi="Arial" w:cs="Arial"/>
                <w:sz w:val="21"/>
                <w:szCs w:val="21"/>
              </w:rPr>
            </w:pPr>
          </w:p>
        </w:tc>
        <w:tc>
          <w:tcPr>
            <w:tcW w:w="2582" w:type="dxa"/>
            <w:vAlign w:val="center"/>
          </w:tcPr>
          <w:p w14:paraId="76A8E24F">
            <w:pPr>
              <w:tabs>
                <w:tab w:val="left" w:pos="5160"/>
              </w:tabs>
              <w:wordWrap w:val="0"/>
              <w:overflowPunct w:val="0"/>
              <w:spacing w:line="240" w:lineRule="auto"/>
              <w:ind w:firstLine="420" w:firstLineChars="200"/>
              <w:jc w:val="right"/>
              <w:rPr>
                <w:rFonts w:ascii="Arial" w:hAnsi="Arial" w:cs="Arial"/>
                <w:sz w:val="21"/>
                <w:szCs w:val="21"/>
              </w:rPr>
            </w:pPr>
            <w:bookmarkStart w:id="77" w:name="_GoBack"/>
            <w:bookmarkEnd w:id="77"/>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758B28F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4865DD5F">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01CFF47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65D96AD5">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05615BDC">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593762C8">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615FBEBB">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769FAB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EE65D5B">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6CC337AA">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3B8FA8FA">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582" w:type="dxa"/>
            <w:vAlign w:val="center"/>
          </w:tcPr>
          <w:p w14:paraId="447F8DEC">
            <w:pPr>
              <w:tabs>
                <w:tab w:val="left" w:pos="5160"/>
              </w:tabs>
              <w:wordWrap w:val="0"/>
              <w:overflowPunct w:val="0"/>
              <w:spacing w:line="240" w:lineRule="auto"/>
              <w:ind w:firstLine="420" w:firstLineChars="200"/>
              <w:jc w:val="right"/>
              <w:rPr>
                <w:rFonts w:ascii="Arial" w:hAnsi="Arial" w:cs="Arial"/>
                <w:sz w:val="21"/>
                <w:szCs w:val="21"/>
              </w:rPr>
            </w:pPr>
            <w:r>
              <w:rPr>
                <w:rFonts w:hint="eastAsia" w:ascii="Arial" w:hAnsi="Arial" w:cs="Arial"/>
                <w:sz w:val="21"/>
                <w:szCs w:val="21"/>
                <w:lang w:val="en-US" w:eastAsia="zh-CN"/>
              </w:rPr>
              <w:t xml:space="preserve">/  </w:t>
            </w:r>
            <w:r>
              <w:rPr>
                <w:rFonts w:ascii="Arial" w:hAnsi="Arial" w:cs="Arial"/>
                <w:sz w:val="21"/>
                <w:szCs w:val="21"/>
              </w:rPr>
              <w:t>年</w:t>
            </w:r>
            <w:r>
              <w:rPr>
                <w:rFonts w:hint="eastAsia" w:ascii="Arial" w:hAnsi="Arial" w:cs="Arial"/>
                <w:sz w:val="21"/>
                <w:szCs w:val="21"/>
              </w:rPr>
              <w:t xml:space="preserve">  </w:t>
            </w:r>
            <w:r>
              <w:rPr>
                <w:rFonts w:hint="eastAsia" w:ascii="Arial" w:hAnsi="Arial" w:cs="Arial"/>
                <w:sz w:val="21"/>
                <w:szCs w:val="21"/>
                <w:lang w:val="en-US" w:eastAsia="zh-CN"/>
              </w:rPr>
              <w:t>/</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hint="eastAsia" w:ascii="Arial" w:hAnsi="Arial" w:cs="Arial"/>
                <w:sz w:val="21"/>
                <w:szCs w:val="21"/>
                <w:lang w:val="en-US" w:eastAsia="zh-CN"/>
              </w:rPr>
              <w:t>/</w:t>
            </w:r>
            <w:r>
              <w:rPr>
                <w:rFonts w:hint="eastAsia" w:ascii="Arial" w:hAnsi="Arial" w:cs="Arial"/>
                <w:sz w:val="21"/>
                <w:szCs w:val="21"/>
              </w:rPr>
              <w:t xml:space="preserve">  </w:t>
            </w:r>
            <w:r>
              <w:rPr>
                <w:rFonts w:ascii="Arial" w:hAnsi="Arial" w:cs="Arial"/>
                <w:sz w:val="21"/>
                <w:szCs w:val="21"/>
              </w:rPr>
              <w:t>日</w:t>
            </w:r>
          </w:p>
        </w:tc>
      </w:tr>
    </w:tbl>
    <w:p w14:paraId="3086E67D">
      <w:pPr>
        <w:overflowPunct w:val="0"/>
        <w:spacing w:line="480" w:lineRule="auto"/>
        <w:jc w:val="both"/>
        <w:textAlignment w:val="auto"/>
        <w:rPr>
          <w:rFonts w:ascii="Arial" w:hAnsi="Arial" w:cs="Arial"/>
          <w:kern w:val="2"/>
          <w:sz w:val="21"/>
          <w:szCs w:val="21"/>
        </w:rPr>
      </w:pPr>
    </w:p>
    <w:p w14:paraId="13902C71">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201017C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10</w:t>
      </w:r>
      <w:r>
        <w:rPr>
          <w:rFonts w:ascii="Arial" w:hAnsi="Arial" w:cs="Arial"/>
          <w:sz w:val="21"/>
          <w:szCs w:val="21"/>
        </w:rPr>
        <w:t>月</w:t>
      </w:r>
      <w:r>
        <w:rPr>
          <w:rFonts w:hint="eastAsia" w:ascii="Arial" w:hAnsi="Arial" w:cs="Arial"/>
          <w:sz w:val="21"/>
          <w:szCs w:val="21"/>
        </w:rPr>
        <w:t>27</w:t>
      </w:r>
      <w:r>
        <w:rPr>
          <w:rFonts w:ascii="Arial" w:hAnsi="Arial" w:cs="Arial"/>
          <w:sz w:val="21"/>
          <w:szCs w:val="21"/>
        </w:rPr>
        <w:t>日</w:t>
      </w:r>
    </w:p>
    <w:p w14:paraId="65F19F7E">
      <w:pPr>
        <w:overflowPunct w:val="0"/>
        <w:spacing w:line="480" w:lineRule="auto"/>
        <w:jc w:val="both"/>
        <w:textAlignment w:val="auto"/>
        <w:rPr>
          <w:rFonts w:ascii="Arial" w:hAnsi="Arial" w:cs="Arial"/>
          <w:kern w:val="2"/>
          <w:sz w:val="21"/>
          <w:szCs w:val="21"/>
        </w:rPr>
      </w:pPr>
    </w:p>
    <w:p w14:paraId="473EAD4A">
      <w:pPr>
        <w:pStyle w:val="3"/>
        <w:numPr>
          <w:ilvl w:val="0"/>
          <w:numId w:val="0"/>
        </w:numPr>
        <w:overflowPunct w:val="0"/>
        <w:spacing w:line="480" w:lineRule="auto"/>
        <w:jc w:val="both"/>
        <w:textAlignment w:val="auto"/>
        <w:rPr>
          <w:rFonts w:eastAsia="宋体"/>
          <w:kern w:val="2"/>
          <w:sz w:val="21"/>
          <w:szCs w:val="21"/>
        </w:rPr>
      </w:pPr>
      <w:bookmarkStart w:id="42" w:name="_Toc155267098"/>
      <w:bookmarkStart w:id="43" w:name="_Toc168225825"/>
      <w:r>
        <w:rPr>
          <w:rFonts w:eastAsia="宋体"/>
          <w:kern w:val="2"/>
          <w:sz w:val="21"/>
          <w:szCs w:val="21"/>
        </w:rPr>
        <w:t>十三、估价作业期</w:t>
      </w:r>
      <w:bookmarkEnd w:id="42"/>
      <w:bookmarkEnd w:id="43"/>
      <w:r>
        <w:rPr>
          <w:rFonts w:hint="eastAsia" w:eastAsia="宋体"/>
          <w:kern w:val="2"/>
          <w:sz w:val="21"/>
          <w:szCs w:val="21"/>
        </w:rPr>
        <w:t xml:space="preserve">  </w:t>
      </w:r>
    </w:p>
    <w:p w14:paraId="6630187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10</w:t>
      </w:r>
      <w:r>
        <w:rPr>
          <w:rFonts w:ascii="Arial" w:hAnsi="Arial" w:cs="Arial"/>
          <w:sz w:val="21"/>
          <w:szCs w:val="21"/>
        </w:rPr>
        <w:t>月</w:t>
      </w:r>
      <w:r>
        <w:rPr>
          <w:rFonts w:hint="eastAsia" w:ascii="Arial" w:hAnsi="Arial" w:cs="Arial"/>
          <w:sz w:val="21"/>
          <w:szCs w:val="21"/>
        </w:rPr>
        <w:t>27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r>
        <w:rPr>
          <w:rFonts w:hint="eastAsia" w:ascii="Arial" w:hAnsi="Arial" w:cs="Arial"/>
          <w:sz w:val="21"/>
          <w:szCs w:val="21"/>
        </w:rPr>
        <w:t>6</w:t>
      </w:r>
      <w:r>
        <w:rPr>
          <w:rFonts w:ascii="Arial" w:hAnsi="Arial" w:cs="Arial"/>
          <w:sz w:val="21"/>
          <w:szCs w:val="21"/>
        </w:rPr>
        <w:t>日</w:t>
      </w:r>
    </w:p>
    <w:p w14:paraId="23707180">
      <w:pPr>
        <w:overflowPunct w:val="0"/>
        <w:spacing w:line="480" w:lineRule="auto"/>
        <w:jc w:val="both"/>
        <w:textAlignment w:val="auto"/>
        <w:outlineLvl w:val="0"/>
        <w:rPr>
          <w:rFonts w:ascii="Arial" w:hAnsi="Arial" w:cs="Arial"/>
          <w:b/>
          <w:kern w:val="2"/>
          <w:sz w:val="21"/>
          <w:szCs w:val="21"/>
        </w:rPr>
        <w:sectPr>
          <w:headerReference r:id="rId19" w:type="first"/>
          <w:headerReference r:id="rId17" w:type="default"/>
          <w:footerReference r:id="rId20" w:type="default"/>
          <w:headerReference r:id="rId18" w:type="even"/>
          <w:footerReference r:id="rId21" w:type="even"/>
          <w:pgSz w:w="11907" w:h="16840"/>
          <w:pgMar w:top="1843" w:right="1134" w:bottom="1134" w:left="1134" w:header="1134" w:footer="907" w:gutter="340"/>
          <w:cols w:space="720" w:num="1"/>
          <w:docGrid w:linePitch="326" w:charSpace="0"/>
        </w:sectPr>
      </w:pPr>
    </w:p>
    <w:p w14:paraId="17F78EC9">
      <w:pPr>
        <w:pStyle w:val="2"/>
        <w:spacing w:line="480" w:lineRule="auto"/>
        <w:jc w:val="center"/>
        <w:rPr>
          <w:rFonts w:eastAsia="方正黑体简体"/>
          <w:b w:val="0"/>
          <w:kern w:val="2"/>
          <w:sz w:val="32"/>
          <w:szCs w:val="32"/>
        </w:rPr>
      </w:pPr>
      <w:bookmarkStart w:id="44" w:name="_Toc155267099"/>
      <w:bookmarkStart w:id="45" w:name="_Toc525655431"/>
      <w:r>
        <w:rPr>
          <w:rFonts w:hint="eastAsia" w:eastAsia="方正黑体简体"/>
          <w:b w:val="0"/>
          <w:kern w:val="2"/>
          <w:sz w:val="32"/>
          <w:szCs w:val="32"/>
        </w:rPr>
        <w:t>估价技术报告</w:t>
      </w:r>
      <w:bookmarkEnd w:id="44"/>
      <w:bookmarkEnd w:id="45"/>
    </w:p>
    <w:p w14:paraId="4C23E190">
      <w:pPr>
        <w:pStyle w:val="3"/>
        <w:numPr>
          <w:ilvl w:val="0"/>
          <w:numId w:val="0"/>
        </w:numPr>
        <w:spacing w:line="480" w:lineRule="auto"/>
        <w:ind w:left="358" w:hanging="358" w:hangingChars="170"/>
        <w:jc w:val="both"/>
        <w:rPr>
          <w:rFonts w:eastAsia="宋体"/>
          <w:kern w:val="2"/>
          <w:sz w:val="21"/>
          <w:szCs w:val="21"/>
        </w:rPr>
      </w:pPr>
      <w:bookmarkStart w:id="46" w:name="_Toc155267100"/>
      <w:bookmarkStart w:id="47" w:name="_Toc525655432"/>
      <w:r>
        <w:rPr>
          <w:rFonts w:eastAsia="宋体"/>
          <w:kern w:val="2"/>
          <w:sz w:val="21"/>
          <w:szCs w:val="21"/>
        </w:rPr>
        <w:t>一、估价对象描述与分析</w:t>
      </w:r>
      <w:bookmarkEnd w:id="46"/>
      <w:bookmarkEnd w:id="47"/>
    </w:p>
    <w:p w14:paraId="3296676A">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11C02754">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224C49B">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估价对象位于北京市</w:t>
      </w:r>
      <w:r>
        <w:rPr>
          <w:rFonts w:hint="eastAsia" w:ascii="Arial" w:hAnsi="Arial" w:cs="Arial"/>
          <w:kern w:val="2"/>
          <w:sz w:val="21"/>
          <w:szCs w:val="21"/>
        </w:rPr>
        <w:t>大兴区采育镇</w:t>
      </w:r>
      <w:r>
        <w:rPr>
          <w:rFonts w:ascii="Arial" w:hAnsi="Arial" w:cs="Arial"/>
          <w:kern w:val="2"/>
          <w:sz w:val="21"/>
          <w:szCs w:val="21"/>
        </w:rPr>
        <w:t>，临近</w:t>
      </w:r>
      <w:r>
        <w:rPr>
          <w:rFonts w:hint="eastAsia" w:ascii="Arial" w:hAnsi="Arial" w:cs="Arial"/>
          <w:kern w:val="2"/>
          <w:sz w:val="21"/>
          <w:szCs w:val="21"/>
        </w:rPr>
        <w:t>首都环线高速</w:t>
      </w:r>
      <w:r>
        <w:rPr>
          <w:rFonts w:ascii="Arial" w:hAnsi="Arial" w:cs="Arial"/>
          <w:kern w:val="2"/>
          <w:sz w:val="21"/>
          <w:szCs w:val="21"/>
        </w:rPr>
        <w:t>京</w:t>
      </w:r>
      <w:r>
        <w:rPr>
          <w:rFonts w:hint="eastAsia" w:ascii="Arial" w:hAnsi="Arial" w:cs="Arial"/>
          <w:kern w:val="2"/>
          <w:sz w:val="21"/>
          <w:szCs w:val="21"/>
        </w:rPr>
        <w:t>沪</w:t>
      </w:r>
      <w:r>
        <w:rPr>
          <w:rFonts w:ascii="Arial" w:hAnsi="Arial" w:cs="Arial"/>
          <w:kern w:val="2"/>
          <w:sz w:val="21"/>
          <w:szCs w:val="21"/>
        </w:rPr>
        <w:t>高速，土地级别属于北京市基准地价</w:t>
      </w:r>
      <w:r>
        <w:rPr>
          <w:rFonts w:hint="eastAsia" w:ascii="Arial" w:hAnsi="Arial" w:cs="Arial"/>
          <w:kern w:val="2"/>
          <w:sz w:val="21"/>
          <w:szCs w:val="21"/>
        </w:rPr>
        <w:t>住宅</w:t>
      </w:r>
      <w:r>
        <w:rPr>
          <w:rFonts w:ascii="Arial" w:hAnsi="Arial" w:cs="Arial"/>
          <w:kern w:val="2"/>
          <w:sz w:val="21"/>
          <w:szCs w:val="21"/>
        </w:rPr>
        <w:t>类</w:t>
      </w:r>
      <w:r>
        <w:rPr>
          <w:rFonts w:hint="eastAsia" w:ascii="Arial" w:hAnsi="Arial" w:cs="Arial"/>
          <w:kern w:val="2"/>
          <w:sz w:val="21"/>
          <w:szCs w:val="21"/>
        </w:rPr>
        <w:t>九</w:t>
      </w:r>
      <w:r>
        <w:rPr>
          <w:rFonts w:ascii="Arial" w:hAnsi="Arial" w:cs="Arial"/>
          <w:kern w:val="2"/>
          <w:sz w:val="21"/>
          <w:szCs w:val="21"/>
        </w:rPr>
        <w:t>级，</w:t>
      </w:r>
      <w:r>
        <w:rPr>
          <w:rFonts w:hint="eastAsia" w:ascii="Arial" w:hAnsi="Arial" w:cs="Arial"/>
          <w:kern w:val="2"/>
          <w:sz w:val="21"/>
          <w:szCs w:val="21"/>
        </w:rPr>
        <w:t>IX</w:t>
      </w:r>
      <w:r>
        <w:rPr>
          <w:rFonts w:ascii="Arial" w:hAnsi="Arial" w:cs="Arial"/>
          <w:kern w:val="2"/>
          <w:sz w:val="21"/>
          <w:szCs w:val="21"/>
        </w:rPr>
        <w:t>-</w:t>
      </w:r>
      <w:r>
        <w:rPr>
          <w:rFonts w:hint="eastAsia" w:ascii="Arial" w:hAnsi="Arial" w:cs="Arial"/>
          <w:kern w:val="2"/>
          <w:sz w:val="21"/>
          <w:szCs w:val="21"/>
        </w:rPr>
        <w:t>亦</w:t>
      </w:r>
      <w:r>
        <w:rPr>
          <w:rFonts w:ascii="Arial" w:hAnsi="Arial" w:cs="Arial"/>
          <w:kern w:val="2"/>
          <w:sz w:val="21"/>
          <w:szCs w:val="21"/>
        </w:rPr>
        <w:t>2区片，地理位置状况</w:t>
      </w:r>
      <w:r>
        <w:rPr>
          <w:rFonts w:hint="eastAsia" w:ascii="Arial" w:hAnsi="Arial" w:cs="Arial"/>
          <w:kern w:val="2"/>
          <w:sz w:val="21"/>
          <w:szCs w:val="21"/>
        </w:rPr>
        <w:t>一般</w:t>
      </w:r>
      <w:r>
        <w:rPr>
          <w:rFonts w:ascii="Arial" w:hAnsi="Arial" w:cs="Arial"/>
          <w:kern w:val="2"/>
          <w:sz w:val="21"/>
          <w:szCs w:val="21"/>
        </w:rPr>
        <w:t>。</w:t>
      </w:r>
    </w:p>
    <w:p w14:paraId="57565723">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72A3A42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估价对象周边2公里内有兴创荣墅、住总兴创如遇、恒盛波尔多小镇、路劲御合院、阳光波尔多、北京城建宽院国誉府等，居住小区规模一般，入住率一般，综合评价居住区成熟度一般。</w:t>
      </w:r>
    </w:p>
    <w:p w14:paraId="0A26249B">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7D71F26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次干道——福源路、采星路、采源路、采福路，紧邻城市支路——育仁街、育林街、育胜街、育富街，周边路网较密集；周边2公里范围内无轨道交通站点，周边1公里内有926路、955路、兴20路、兴32路、兴43路、兴940路等公交线路途径并设立站点，综合评价交通便捷度一般。</w:t>
      </w:r>
    </w:p>
    <w:p w14:paraId="10CED969">
      <w:pPr>
        <w:spacing w:line="480" w:lineRule="auto"/>
        <w:ind w:firstLine="420" w:firstLineChars="200"/>
        <w:jc w:val="both"/>
        <w:rPr>
          <w:rFonts w:ascii="Arial" w:hAnsi="Arial" w:cs="Arial"/>
          <w:sz w:val="21"/>
          <w:szCs w:val="21"/>
        </w:rPr>
      </w:pPr>
      <w:r>
        <w:rPr>
          <w:rFonts w:ascii="Arial" w:hAnsi="Arial" w:cs="Arial"/>
          <w:sz w:val="21"/>
          <w:szCs w:val="21"/>
        </w:rPr>
        <w:t>4.</w:t>
      </w:r>
      <w:r>
        <w:rPr>
          <w:rFonts w:hint="eastAsia" w:ascii="Arial" w:hAnsi="Arial" w:cs="Arial"/>
          <w:sz w:val="21"/>
          <w:szCs w:val="21"/>
        </w:rPr>
        <w:t>商业繁华度</w:t>
      </w:r>
    </w:p>
    <w:p w14:paraId="070AF13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估价对象周边有绿地缤纷荟（采育店）、王府井首航生活广场等商业场所，综合商业繁华度一般。</w:t>
      </w:r>
    </w:p>
    <w:p w14:paraId="3C31A445">
      <w:pPr>
        <w:spacing w:line="480" w:lineRule="auto"/>
        <w:ind w:firstLine="420" w:firstLineChars="200"/>
        <w:jc w:val="both"/>
        <w:rPr>
          <w:rFonts w:ascii="Arial" w:hAnsi="Arial" w:cs="Arial"/>
          <w:sz w:val="21"/>
          <w:szCs w:val="21"/>
        </w:rPr>
      </w:pPr>
      <w:r>
        <w:rPr>
          <w:rFonts w:hint="eastAsia" w:ascii="Arial" w:hAnsi="Arial" w:cs="Arial"/>
          <w:sz w:val="21"/>
          <w:szCs w:val="21"/>
        </w:rPr>
        <w:t>5.</w:t>
      </w:r>
      <w:r>
        <w:rPr>
          <w:rFonts w:ascii="Arial" w:hAnsi="Arial" w:cs="Arial"/>
          <w:sz w:val="21"/>
          <w:szCs w:val="21"/>
        </w:rPr>
        <w:t>环境状况</w:t>
      </w:r>
    </w:p>
    <w:p w14:paraId="1F62223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估价对象2公里周边有采育公园、凤河等自然景观，</w:t>
      </w:r>
      <w:r>
        <w:rPr>
          <w:rFonts w:hint="eastAsia" w:ascii="Arial" w:hAnsi="Arial" w:cs="Arial"/>
          <w:sz w:val="21"/>
          <w:szCs w:val="21"/>
        </w:rPr>
        <w:t>5公里范围内无污染源，</w:t>
      </w:r>
      <w:r>
        <w:rPr>
          <w:rFonts w:hint="eastAsia" w:ascii="Arial" w:hAnsi="Arial" w:cs="Arial"/>
          <w:kern w:val="2"/>
          <w:sz w:val="21"/>
          <w:szCs w:val="21"/>
        </w:rPr>
        <w:t>自然与人文环境一般</w:t>
      </w:r>
      <w:r>
        <w:rPr>
          <w:rFonts w:hint="eastAsia" w:ascii="Arial" w:hAnsi="Arial" w:cs="Arial"/>
          <w:sz w:val="21"/>
          <w:szCs w:val="21"/>
        </w:rPr>
        <w:t>。</w:t>
      </w:r>
    </w:p>
    <w:p w14:paraId="2E9909FC">
      <w:pPr>
        <w:spacing w:line="480" w:lineRule="auto"/>
        <w:ind w:firstLine="420" w:firstLineChars="200"/>
        <w:jc w:val="both"/>
        <w:rPr>
          <w:rFonts w:ascii="Arial" w:hAnsi="Arial" w:cs="Arial"/>
          <w:i/>
          <w:sz w:val="21"/>
          <w:szCs w:val="21"/>
        </w:rPr>
      </w:pPr>
      <w:r>
        <w:rPr>
          <w:rFonts w:hint="eastAsia" w:ascii="Arial" w:hAnsi="Arial" w:cs="Arial"/>
          <w:sz w:val="21"/>
          <w:szCs w:val="21"/>
        </w:rPr>
        <w:t>6.</w:t>
      </w:r>
      <w:r>
        <w:rPr>
          <w:rFonts w:ascii="Arial" w:hAnsi="Arial" w:cs="Arial"/>
          <w:sz w:val="21"/>
          <w:szCs w:val="21"/>
        </w:rPr>
        <w:t>外部配套设施状况</w:t>
      </w:r>
    </w:p>
    <w:p w14:paraId="6578A511">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0705D4FB">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p w14:paraId="5A0F5C70">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p w14:paraId="7483CF5A">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估价对象地理位置状况一般，居住社区成熟度一般，交通便捷度一般，商业繁华度一般，环境状况一般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”，公共配套设施状况一般。</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50"/>
      <w:r>
        <w:rPr>
          <w:rFonts w:ascii="Arial" w:hAnsi="Arial" w:cs="Arial"/>
          <w:sz w:val="21"/>
          <w:szCs w:val="21"/>
        </w:rPr>
        <w:t>总体评价影响估价对象的</w:t>
      </w:r>
      <w:r>
        <w:rPr>
          <w:rFonts w:hint="eastAsia" w:ascii="Arial" w:hAnsi="Arial" w:cs="Arial"/>
          <w:sz w:val="21"/>
          <w:szCs w:val="21"/>
        </w:rPr>
        <w:t>区位条件一般</w:t>
      </w:r>
      <w:r>
        <w:rPr>
          <w:rFonts w:ascii="Arial" w:hAnsi="Arial" w:cs="Arial"/>
          <w:sz w:val="21"/>
          <w:szCs w:val="21"/>
        </w:rPr>
        <w:t>。</w:t>
      </w:r>
    </w:p>
    <w:p w14:paraId="14EA0E83">
      <w:pPr>
        <w:pStyle w:val="3"/>
        <w:numPr>
          <w:ilvl w:val="0"/>
          <w:numId w:val="0"/>
        </w:numPr>
        <w:spacing w:line="480" w:lineRule="auto"/>
        <w:ind w:left="360" w:hanging="361" w:hangingChars="171"/>
        <w:jc w:val="both"/>
        <w:rPr>
          <w:rFonts w:eastAsia="宋体"/>
          <w:kern w:val="2"/>
          <w:sz w:val="21"/>
          <w:szCs w:val="21"/>
        </w:rPr>
      </w:pPr>
      <w:bookmarkStart w:id="51" w:name="_Toc525655435"/>
      <w:bookmarkStart w:id="52" w:name="_Toc155267102"/>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7E1CFB2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413B9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（1）</w:t>
      </w:r>
      <w:r>
        <w:rPr>
          <w:rFonts w:hint="eastAsia" w:ascii="Arial" w:hAnsi="Arial" w:cs="Arial"/>
          <w:sz w:val="21"/>
          <w:szCs w:val="21"/>
        </w:rPr>
        <w:t>根据《采育数字时尚小镇保障性住房趸组协议》及其附件及《房屋所有权证》[X京房权证兴字第144437、144436、144435、144444、1444440、144439、144442、144443、144449、144445、144447、194022号]，估价对象中</w:t>
      </w:r>
      <w:r>
        <w:rPr>
          <w:rFonts w:hint="eastAsia" w:ascii="Arial" w:hAnsi="Arial" w:cs="Arial"/>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kern w:val="2"/>
          <w:sz w:val="21"/>
          <w:szCs w:val="21"/>
        </w:rPr>
        <w:t>于房屋建成后回购</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报告出具日，上述房屋尚未办理不动产权变更登记。所属宗地现状四至为东至育仁街，南至育林街，西至福源路，北至育胜街。</w:t>
      </w:r>
    </w:p>
    <w:p w14:paraId="0B43984F">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023E4250">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74049D26">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352910F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74B72D8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506185F1">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1E60B67">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7E8BC3BD">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4DEA0DC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w:t>
      </w:r>
      <w:r>
        <w:rPr>
          <w:rFonts w:ascii="Arial" w:hAnsi="Arial" w:cs="Arial"/>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47E9002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sz w:val="21"/>
          <w:szCs w:val="21"/>
        </w:rPr>
        <w:t>估价对象具体情况如下：</w:t>
      </w:r>
    </w:p>
    <w:p w14:paraId="1B78F034">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26CE15A3">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65193BD4">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2802AB55">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102F452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5B893EF0">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18841B83">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7327ED9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5F1B1225">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42710E7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1EE12FC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4422D8C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6F7C85AE">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671697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0339E68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53DD464B">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6F8AE369">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6892F1C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721EA7C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69C794F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332E41C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67EC22E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2640F4EC">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13D0C725">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03FAC9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33D1CF0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4FDBEB01">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F8602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017F45F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8726D05">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FF546CD">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2887BB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5EB549E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2350F14B">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579B3C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55E9D7C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62FEB3FC">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2EA0F3C4">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1BCB29B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15D8353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A6E1B1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496002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2D601B5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088FA9EB">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51E3FAC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51E1BE8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4475E1D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09EEB393">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01D97BA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63E4702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70125829">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248B2299">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177211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493E9AB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3D83383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156FA8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66546B47">
            <w:pPr>
              <w:widowControl/>
              <w:adjustRightInd/>
              <w:spacing w:line="240" w:lineRule="auto"/>
              <w:jc w:val="center"/>
              <w:textAlignment w:val="auto"/>
              <w:rPr>
                <w:rFonts w:hint="eastAsia" w:ascii="华文细黑" w:hAnsi="华文细黑" w:eastAsia="华文细黑" w:cs="Arial"/>
                <w:b/>
                <w:bCs/>
                <w:sz w:val="18"/>
                <w:szCs w:val="18"/>
                <w:lang w:eastAsia="zh-CN"/>
              </w:rPr>
            </w:pPr>
            <w:r>
              <w:rPr>
                <w:rFonts w:hint="eastAsia" w:ascii="华文细黑" w:hAnsi="华文细黑" w:eastAsia="华文细黑" w:cs="Arial"/>
                <w:b/>
                <w:bCs/>
                <w:sz w:val="18"/>
                <w:szCs w:val="18"/>
                <w:lang w:eastAsia="zh-CN"/>
              </w:rPr>
              <w:t>1561.82</w:t>
            </w:r>
          </w:p>
        </w:tc>
      </w:tr>
      <w:tr w14:paraId="4A4F95D0">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1C70D06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2AE8380F">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718A6C8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0FAA93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6650A34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5117EDB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1C92179D">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3D753EE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25AE408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5077A7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全装修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4428ED1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sz w:val="21"/>
          <w:szCs w:val="21"/>
        </w:rPr>
        <w:t>%</w:t>
      </w:r>
      <w:r>
        <w:rPr>
          <w:rFonts w:hint="eastAsia" w:ascii="Arial" w:hAnsi="Arial" w:cs="Arial"/>
          <w:sz w:val="21"/>
          <w:szCs w:val="21"/>
        </w:rPr>
        <w:t>。</w:t>
      </w:r>
    </w:p>
    <w:p w14:paraId="6135982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sz w:val="21"/>
          <w:szCs w:val="21"/>
        </w:rPr>
        <w:t>%</w:t>
      </w:r>
      <w:r>
        <w:rPr>
          <w:rFonts w:hint="eastAsia" w:ascii="Arial" w:hAnsi="Arial" w:cs="Arial"/>
          <w:sz w:val="21"/>
          <w:szCs w:val="21"/>
        </w:rPr>
        <w:t>。</w:t>
      </w:r>
    </w:p>
    <w:p w14:paraId="0611F6F6">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（7）户型设计：估价对象均为平层结构，分为三种户型，分别为一居室、两居室、三居室。其中一居室378套、两居室933套、三居室13套。</w:t>
      </w:r>
    </w:p>
    <w:p w14:paraId="60F3B0A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（8）朝向：估价对象一居室、三居室均南北朝向；两居室有南北、南朝向，其中南北朝向916套、南朝向17套。</w:t>
      </w:r>
    </w:p>
    <w:p w14:paraId="7C19EFE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（9）综合服务管理设施：估价对象所属小区为封闭式管理，门口设有快递柜、小区内设有垃圾分类收集点。估价对象享有同样的配套设施，估价对象所在楼栋一层配备管理用房等。</w:t>
      </w:r>
    </w:p>
    <w:p w14:paraId="4879BBF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6B6B53EF">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11791F76">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住宅用房</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租者的需求，因此将会在一定程度上影响其租金价格水平。</w:t>
      </w:r>
    </w:p>
    <w:p w14:paraId="0151C496">
      <w:pPr>
        <w:pStyle w:val="3"/>
        <w:numPr>
          <w:ilvl w:val="0"/>
          <w:numId w:val="0"/>
        </w:numPr>
        <w:spacing w:line="480" w:lineRule="auto"/>
        <w:ind w:left="360" w:hanging="361" w:hangingChars="171"/>
        <w:jc w:val="both"/>
        <w:rPr>
          <w:rFonts w:eastAsia="宋体"/>
          <w:kern w:val="2"/>
          <w:sz w:val="21"/>
          <w:szCs w:val="21"/>
        </w:rPr>
      </w:pPr>
      <w:bookmarkStart w:id="53" w:name="_Toc155267103"/>
      <w:bookmarkStart w:id="54" w:name="_Toc525655436"/>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4833E0CE">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根据估价委托人提供的资料及评估专业人员实地查勘，于价值时点，未发现估价对象存在抵押、</w:t>
      </w:r>
      <w:r>
        <w:rPr>
          <w:rFonts w:hint="eastAsia" w:ascii="Arial" w:hAnsi="Arial" w:cs="Arial"/>
          <w:kern w:val="2"/>
          <w:sz w:val="21"/>
          <w:szCs w:val="21"/>
        </w:rPr>
        <w:t>租赁、地役、查封等他项权利</w:t>
      </w:r>
      <w:r>
        <w:rPr>
          <w:rFonts w:hint="eastAsia" w:ascii="Arial" w:hAnsi="Arial" w:cs="Arial"/>
          <w:sz w:val="21"/>
          <w:szCs w:val="21"/>
        </w:rPr>
        <w:t>。</w:t>
      </w:r>
      <w:r>
        <w:rPr>
          <w:rFonts w:hint="eastAsia" w:ascii="Arial" w:hAnsi="Arial" w:cs="Arial"/>
          <w:kern w:val="2"/>
          <w:sz w:val="21"/>
          <w:szCs w:val="21"/>
        </w:rPr>
        <w:t>根据估价目的，本次估价未考虑抵押、租赁、地役、查封等他项权利影响，故设定估价对象于价值时点不存在租赁、地役、查封等他项权利限制。</w:t>
      </w:r>
      <w:bookmarkStart w:id="56" w:name="_Toc155267104"/>
    </w:p>
    <w:p w14:paraId="58FAFF11">
      <w:pPr>
        <w:spacing w:line="480" w:lineRule="auto"/>
        <w:ind w:firstLine="420" w:firstLineChars="200"/>
        <w:rPr>
          <w:rFonts w:ascii="Arial" w:hAnsi="Arial" w:cs="Arial"/>
          <w:kern w:val="2"/>
          <w:sz w:val="21"/>
          <w:szCs w:val="21"/>
        </w:rPr>
      </w:pPr>
    </w:p>
    <w:p w14:paraId="1AEEFAA5">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6AA23BB1">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718753A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C9E5E22">
      <w:pPr>
        <w:widowControl/>
        <w:adjustRightInd/>
        <w:spacing w:line="480" w:lineRule="auto"/>
        <w:ind w:firstLine="525" w:firstLineChars="250"/>
        <w:jc w:val="both"/>
        <w:textAlignment w:val="auto"/>
        <w:rPr>
          <w:rFonts w:ascii="Arial" w:hAnsi="Arial"/>
          <w:sz w:val="21"/>
          <w:szCs w:val="21"/>
        </w:rPr>
      </w:pPr>
      <w:bookmarkStart w:id="58" w:name="OLE_LINK33"/>
      <w:bookmarkStart w:id="59" w:name="OLE_LINK34"/>
      <w:r>
        <w:rPr>
          <w:rFonts w:hint="eastAsia" w:ascii="Arial" w:hAnsi="Arial"/>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4ACC1251">
      <w:pPr>
        <w:widowControl/>
        <w:adjustRightInd/>
        <w:spacing w:line="480" w:lineRule="auto"/>
        <w:ind w:firstLine="525" w:firstLineChars="250"/>
        <w:jc w:val="both"/>
        <w:textAlignment w:val="auto"/>
        <w:rPr>
          <w:rFonts w:ascii="Arial" w:hAnsi="Arial"/>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sz w:val="21"/>
          <w:szCs w:val="21"/>
        </w:rPr>
        <w:t>。</w:t>
      </w:r>
    </w:p>
    <w:p w14:paraId="3D401525">
      <w:pPr>
        <w:overflowPunct w:val="0"/>
        <w:spacing w:line="240" w:lineRule="auto"/>
        <w:jc w:val="center"/>
        <w:rPr>
          <w:rFonts w:ascii="Arial" w:hAnsi="Arial" w:eastAsia="方正黑体简体"/>
          <w:bCs/>
          <w:szCs w:val="24"/>
        </w:rPr>
      </w:pPr>
      <w:r>
        <w:rPr>
          <w:rFonts w:ascii="Arial" w:hAnsi="Arial" w:eastAsia="方正黑体简体"/>
          <w:bCs/>
          <w:szCs w:val="24"/>
        </w:rPr>
        <w:t>20</w:t>
      </w:r>
      <w:r>
        <w:rPr>
          <w:rFonts w:hint="eastAsia" w:ascii="Arial" w:hAnsi="Arial" w:eastAsia="方正黑体简体"/>
          <w:bCs/>
          <w:szCs w:val="24"/>
        </w:rPr>
        <w:t>20</w:t>
      </w:r>
      <w:r>
        <w:rPr>
          <w:rFonts w:ascii="Arial" w:hAnsi="Arial" w:eastAsia="方正黑体简体"/>
          <w:bCs/>
          <w:szCs w:val="24"/>
        </w:rPr>
        <w:t>-202</w:t>
      </w:r>
      <w:r>
        <w:rPr>
          <w:rFonts w:hint="eastAsia" w:ascii="Arial" w:hAnsi="Arial" w:eastAsia="方正黑体简体"/>
          <w:bCs/>
          <w:szCs w:val="24"/>
        </w:rPr>
        <w:t>4年常住人口增量及增长速度</w:t>
      </w:r>
    </w:p>
    <w:p w14:paraId="509522FE">
      <w:pPr>
        <w:widowControl/>
        <w:adjustRightInd/>
        <w:spacing w:line="480" w:lineRule="auto"/>
        <w:jc w:val="center"/>
        <w:textAlignment w:val="auto"/>
        <w:rPr>
          <w:rFonts w:ascii="Arial" w:hAnsi="Arial"/>
          <w:sz w:val="21"/>
          <w:szCs w:val="21"/>
        </w:rPr>
      </w:pPr>
      <w:r>
        <w:rPr>
          <w:rFonts w:ascii="Arial" w:hAnsi="Arial" w:eastAsia="仿宋" w:cs="Arial"/>
          <w:sz w:val="28"/>
          <w:szCs w:val="28"/>
        </w:rPr>
        <w:drawing>
          <wp:inline distT="0" distB="0" distL="114300" distR="114300">
            <wp:extent cx="5906135" cy="2407285"/>
            <wp:effectExtent l="4445" t="4445" r="17780" b="1143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58"/>
    <w:bookmarkEnd w:id="59"/>
    <w:p w14:paraId="1AB9014D">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7AB2E5B6">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7791EF4C">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23CB8BAA">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65BD1A14">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北京市房屋竣工面积787.8万平方米，同比增长6.1%。其中，住宅竣工面积403.3万平方米，下降1.5%；办公楼23.2万平方米，下降33%；商业营业用房78.7万平方米，增长1.2倍。</w:t>
      </w:r>
    </w:p>
    <w:p w14:paraId="43EA0B10">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28492507">
      <w:pPr>
        <w:widowControl/>
        <w:overflowPunct w:val="0"/>
        <w:adjustRightInd/>
        <w:spacing w:line="480" w:lineRule="auto"/>
        <w:ind w:firstLine="420" w:firstLineChars="200"/>
        <w:jc w:val="both"/>
        <w:textAlignment w:val="auto"/>
        <w:rPr>
          <w:rFonts w:ascii="Arial" w:hAnsi="Arial"/>
          <w:sz w:val="21"/>
          <w:szCs w:val="21"/>
        </w:rPr>
      </w:pPr>
      <w:r>
        <w:rPr>
          <w:rFonts w:ascii="Arial" w:hAnsi="Arial"/>
          <w:sz w:val="21"/>
          <w:szCs w:val="21"/>
        </w:rPr>
        <w:t>2.</w:t>
      </w:r>
      <w:r>
        <w:rPr>
          <w:rFonts w:hint="eastAsia" w:ascii="Arial" w:hAnsi="Arial"/>
          <w:sz w:val="21"/>
          <w:szCs w:val="21"/>
        </w:rPr>
        <w:t>土地市场</w:t>
      </w:r>
    </w:p>
    <w:p w14:paraId="5B7FA343">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（1）土地供求情况</w:t>
      </w:r>
    </w:p>
    <w:p w14:paraId="7F708E4A">
      <w:pPr>
        <w:widowControl/>
        <w:adjustRightInd/>
        <w:spacing w:line="480" w:lineRule="auto"/>
        <w:ind w:firstLine="525" w:firstLineChars="250"/>
        <w:jc w:val="both"/>
        <w:textAlignment w:val="auto"/>
        <w:rPr>
          <w:rFonts w:ascii="Arial" w:hAnsi="Arial"/>
          <w:sz w:val="21"/>
          <w:szCs w:val="21"/>
        </w:rPr>
      </w:pPr>
      <w:r>
        <w:rPr>
          <w:rFonts w:ascii="Arial" w:hAnsi="Arial"/>
          <w:sz w:val="21"/>
          <w:szCs w:val="21"/>
        </w:rPr>
        <w:t>202</w:t>
      </w:r>
      <w:r>
        <w:rPr>
          <w:rFonts w:hint="eastAsia" w:ascii="Arial" w:hAnsi="Arial"/>
          <w:sz w:val="21"/>
          <w:szCs w:val="21"/>
        </w:rPr>
        <w:t>5</w:t>
      </w:r>
      <w:r>
        <w:rPr>
          <w:rFonts w:ascii="Arial" w:hAnsi="Arial"/>
          <w:sz w:val="21"/>
          <w:szCs w:val="21"/>
        </w:rPr>
        <w:t>年</w:t>
      </w:r>
      <w:r>
        <w:rPr>
          <w:rFonts w:hint="eastAsia" w:ascii="Arial" w:hAnsi="Arial"/>
          <w:sz w:val="21"/>
          <w:szCs w:val="21"/>
        </w:rPr>
        <w:t>三季度</w:t>
      </w:r>
      <w:r>
        <w:rPr>
          <w:rFonts w:ascii="Arial" w:hAnsi="Arial"/>
          <w:sz w:val="21"/>
          <w:szCs w:val="21"/>
        </w:rPr>
        <w:t>北京商品住宅用地共推出</w:t>
      </w:r>
      <w:r>
        <w:rPr>
          <w:rFonts w:hint="eastAsia" w:ascii="Arial" w:hAnsi="Arial"/>
          <w:sz w:val="21"/>
          <w:szCs w:val="21"/>
        </w:rPr>
        <w:t>8</w:t>
      </w:r>
      <w:r>
        <w:rPr>
          <w:rFonts w:ascii="Arial" w:hAnsi="Arial"/>
          <w:sz w:val="21"/>
          <w:szCs w:val="21"/>
        </w:rPr>
        <w:t>宗，累计供应规划建面</w:t>
      </w:r>
      <w:r>
        <w:rPr>
          <w:rFonts w:hint="eastAsia" w:ascii="Arial" w:hAnsi="Arial"/>
          <w:sz w:val="21"/>
          <w:szCs w:val="21"/>
        </w:rPr>
        <w:t>44.96</w:t>
      </w:r>
      <w:r>
        <w:rPr>
          <w:rFonts w:ascii="Arial" w:hAnsi="Arial"/>
          <w:sz w:val="21"/>
          <w:szCs w:val="21"/>
        </w:rPr>
        <w:t>万</w:t>
      </w:r>
      <w:r>
        <w:rPr>
          <w:rFonts w:hint="eastAsia" w:ascii="Arial" w:hAnsi="Arial"/>
          <w:sz w:val="21"/>
          <w:szCs w:val="21"/>
        </w:rPr>
        <w:t>平方米</w:t>
      </w:r>
      <w:r>
        <w:rPr>
          <w:rFonts w:ascii="Arial" w:hAnsi="Arial"/>
          <w:sz w:val="21"/>
          <w:szCs w:val="21"/>
        </w:rPr>
        <w:t>，同比</w:t>
      </w:r>
      <w:r>
        <w:rPr>
          <w:rFonts w:hint="eastAsia" w:ascii="Arial" w:hAnsi="Arial"/>
          <w:sz w:val="21"/>
          <w:szCs w:val="21"/>
        </w:rPr>
        <w:t>下降57.1</w:t>
      </w:r>
      <w:r>
        <w:rPr>
          <w:rFonts w:ascii="Arial" w:hAnsi="Arial"/>
          <w:sz w:val="21"/>
          <w:szCs w:val="21"/>
        </w:rPr>
        <w:t>%；202</w:t>
      </w:r>
      <w:r>
        <w:rPr>
          <w:rFonts w:hint="eastAsia" w:ascii="Arial" w:hAnsi="Arial"/>
          <w:sz w:val="21"/>
          <w:szCs w:val="21"/>
        </w:rPr>
        <w:t>5</w:t>
      </w:r>
      <w:r>
        <w:rPr>
          <w:rFonts w:ascii="Arial" w:hAnsi="Arial"/>
          <w:sz w:val="21"/>
          <w:szCs w:val="21"/>
        </w:rPr>
        <w:t>年</w:t>
      </w:r>
      <w:r>
        <w:rPr>
          <w:rFonts w:hint="eastAsia" w:ascii="Arial" w:hAnsi="Arial"/>
          <w:sz w:val="21"/>
          <w:szCs w:val="21"/>
        </w:rPr>
        <w:t>三季度</w:t>
      </w:r>
      <w:r>
        <w:rPr>
          <w:rFonts w:ascii="Arial" w:hAnsi="Arial"/>
          <w:sz w:val="21"/>
          <w:szCs w:val="21"/>
        </w:rPr>
        <w:t>北京商品住宅用地</w:t>
      </w:r>
      <w:r>
        <w:rPr>
          <w:rFonts w:hint="eastAsia" w:ascii="Arial" w:hAnsi="Arial"/>
          <w:sz w:val="21"/>
          <w:szCs w:val="21"/>
        </w:rPr>
        <w:t>共</w:t>
      </w:r>
      <w:r>
        <w:rPr>
          <w:rFonts w:ascii="Arial" w:hAnsi="Arial"/>
          <w:sz w:val="21"/>
          <w:szCs w:val="21"/>
        </w:rPr>
        <w:t>成交</w:t>
      </w:r>
      <w:r>
        <w:rPr>
          <w:rFonts w:hint="eastAsia" w:ascii="Arial" w:hAnsi="Arial"/>
          <w:sz w:val="21"/>
          <w:szCs w:val="21"/>
        </w:rPr>
        <w:t>7</w:t>
      </w:r>
      <w:r>
        <w:rPr>
          <w:rFonts w:ascii="Arial" w:hAnsi="Arial"/>
          <w:sz w:val="21"/>
          <w:szCs w:val="21"/>
        </w:rPr>
        <w:t>宗，成交规划建面</w:t>
      </w:r>
      <w:r>
        <w:rPr>
          <w:rFonts w:hint="eastAsia" w:ascii="Arial" w:hAnsi="Arial"/>
          <w:sz w:val="21"/>
          <w:szCs w:val="21"/>
        </w:rPr>
        <w:t>32.01</w:t>
      </w:r>
      <w:r>
        <w:rPr>
          <w:rFonts w:ascii="Arial" w:hAnsi="Arial"/>
          <w:sz w:val="21"/>
          <w:szCs w:val="21"/>
        </w:rPr>
        <w:t>万</w:t>
      </w:r>
      <w:r>
        <w:rPr>
          <w:rFonts w:hint="eastAsia" w:ascii="Arial" w:hAnsi="Arial"/>
          <w:sz w:val="21"/>
          <w:szCs w:val="21"/>
        </w:rPr>
        <w:t>平方米</w:t>
      </w:r>
      <w:r>
        <w:rPr>
          <w:rFonts w:ascii="Arial" w:hAnsi="Arial"/>
          <w:sz w:val="21"/>
          <w:szCs w:val="21"/>
        </w:rPr>
        <w:t>，同比下降</w:t>
      </w:r>
      <w:r>
        <w:rPr>
          <w:rFonts w:hint="eastAsia" w:ascii="Arial" w:hAnsi="Arial"/>
          <w:sz w:val="21"/>
          <w:szCs w:val="21"/>
        </w:rPr>
        <w:t>70.8</w:t>
      </w:r>
      <w:r>
        <w:rPr>
          <w:rFonts w:ascii="Arial" w:hAnsi="Arial"/>
          <w:sz w:val="21"/>
          <w:szCs w:val="21"/>
        </w:rPr>
        <w:t>%；</w:t>
      </w:r>
      <w:r>
        <w:rPr>
          <w:rFonts w:hint="eastAsia" w:ascii="Arial" w:hAnsi="Arial"/>
          <w:sz w:val="21"/>
          <w:szCs w:val="21"/>
        </w:rPr>
        <w:t>土地成交价款合计115.77亿元，同比下降58.7%。与上半年相比，三季度土地市场明显转冷，住宅用地供求规模显著下降，除太阳宫地块外，均底价成交。</w:t>
      </w:r>
    </w:p>
    <w:p w14:paraId="72593062">
      <w:pPr>
        <w:overflowPunct w:val="0"/>
        <w:spacing w:line="360" w:lineRule="auto"/>
        <w:jc w:val="center"/>
        <w:rPr>
          <w:rFonts w:ascii="Arial" w:hAnsi="Arial" w:eastAsia="仿宋_GB2312"/>
          <w:b/>
          <w:bCs/>
          <w:szCs w:val="24"/>
        </w:rPr>
      </w:pPr>
      <w:r>
        <w:drawing>
          <wp:inline distT="0" distB="0" distL="114300" distR="114300">
            <wp:extent cx="4442460" cy="2246630"/>
            <wp:effectExtent l="0" t="0" r="762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8"/>
                    <a:stretch>
                      <a:fillRect/>
                    </a:stretch>
                  </pic:blipFill>
                  <pic:spPr>
                    <a:xfrm>
                      <a:off x="0" y="0"/>
                      <a:ext cx="4442460" cy="2246630"/>
                    </a:xfrm>
                    <a:prstGeom prst="rect">
                      <a:avLst/>
                    </a:prstGeom>
                    <a:noFill/>
                    <a:ln>
                      <a:noFill/>
                    </a:ln>
                  </pic:spPr>
                </pic:pic>
              </a:graphicData>
            </a:graphic>
          </wp:inline>
        </w:drawing>
      </w:r>
    </w:p>
    <w:p w14:paraId="4C2CDA62">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65FB3875">
      <w:pPr>
        <w:widowControl/>
        <w:adjustRightInd/>
        <w:spacing w:line="480" w:lineRule="auto"/>
        <w:ind w:firstLine="525" w:firstLineChars="250"/>
        <w:jc w:val="both"/>
        <w:textAlignment w:val="auto"/>
        <w:rPr>
          <w:rFonts w:ascii="Arial" w:hAnsi="Arial"/>
          <w:sz w:val="21"/>
          <w:szCs w:val="21"/>
        </w:rPr>
      </w:pPr>
      <w:r>
        <w:rPr>
          <w:rFonts w:ascii="Arial" w:hAnsi="Arial"/>
          <w:sz w:val="21"/>
          <w:szCs w:val="21"/>
        </w:rPr>
        <w:t>2025年</w:t>
      </w:r>
      <w:r>
        <w:rPr>
          <w:rFonts w:hint="eastAsia" w:ascii="Arial" w:hAnsi="Arial"/>
          <w:sz w:val="21"/>
          <w:szCs w:val="21"/>
        </w:rPr>
        <w:t>三季度</w:t>
      </w:r>
      <w:r>
        <w:rPr>
          <w:rFonts w:ascii="Arial" w:hAnsi="Arial"/>
          <w:sz w:val="21"/>
          <w:szCs w:val="21"/>
        </w:rPr>
        <w:t>，北京市商品住宅用地中心城区朝阳、丰台累计成交</w:t>
      </w:r>
      <w:r>
        <w:rPr>
          <w:rFonts w:hint="eastAsia" w:ascii="Arial" w:hAnsi="Arial"/>
          <w:sz w:val="21"/>
          <w:szCs w:val="21"/>
        </w:rPr>
        <w:t>3</w:t>
      </w:r>
      <w:r>
        <w:rPr>
          <w:rFonts w:ascii="Arial" w:hAnsi="Arial"/>
          <w:sz w:val="21"/>
          <w:szCs w:val="21"/>
        </w:rPr>
        <w:t>宗宅地，累计成交规划建面</w:t>
      </w:r>
      <w:r>
        <w:rPr>
          <w:rFonts w:hint="eastAsia" w:ascii="Arial" w:hAnsi="Arial"/>
          <w:sz w:val="21"/>
          <w:szCs w:val="21"/>
        </w:rPr>
        <w:t>11.61</w:t>
      </w:r>
      <w:r>
        <w:rPr>
          <w:rFonts w:ascii="Arial" w:hAnsi="Arial"/>
          <w:sz w:val="21"/>
          <w:szCs w:val="21"/>
        </w:rPr>
        <w:t>万</w:t>
      </w:r>
      <w:r>
        <w:rPr>
          <w:rFonts w:hint="eastAsia" w:ascii="Arial" w:hAnsi="Arial"/>
          <w:sz w:val="21"/>
          <w:szCs w:val="21"/>
        </w:rPr>
        <w:t>平方米</w:t>
      </w:r>
      <w:r>
        <w:rPr>
          <w:rFonts w:ascii="Arial" w:hAnsi="Arial"/>
          <w:sz w:val="21"/>
          <w:szCs w:val="21"/>
        </w:rPr>
        <w:t>，占比</w:t>
      </w:r>
      <w:r>
        <w:rPr>
          <w:rFonts w:hint="eastAsia" w:ascii="Arial" w:hAnsi="Arial"/>
          <w:sz w:val="21"/>
          <w:szCs w:val="21"/>
        </w:rPr>
        <w:t>36</w:t>
      </w:r>
      <w:r>
        <w:rPr>
          <w:rFonts w:ascii="Arial" w:hAnsi="Arial"/>
          <w:sz w:val="21"/>
          <w:szCs w:val="21"/>
        </w:rPr>
        <w:t>%，较上年同期增长</w:t>
      </w:r>
      <w:r>
        <w:rPr>
          <w:rFonts w:hint="eastAsia" w:ascii="Arial" w:hAnsi="Arial"/>
          <w:sz w:val="21"/>
          <w:szCs w:val="21"/>
        </w:rPr>
        <w:t>21</w:t>
      </w:r>
      <w:r>
        <w:rPr>
          <w:rFonts w:ascii="Arial" w:hAnsi="Arial"/>
          <w:sz w:val="21"/>
          <w:szCs w:val="21"/>
        </w:rPr>
        <w:t>个百分点。近郊区主要集中在</w:t>
      </w:r>
      <w:r>
        <w:rPr>
          <w:rFonts w:hint="eastAsia" w:ascii="Arial" w:hAnsi="Arial"/>
          <w:sz w:val="21"/>
          <w:szCs w:val="21"/>
        </w:rPr>
        <w:t>昌平、门头沟和</w:t>
      </w:r>
      <w:r>
        <w:rPr>
          <w:rFonts w:ascii="Arial" w:hAnsi="Arial"/>
          <w:sz w:val="21"/>
          <w:szCs w:val="21"/>
        </w:rPr>
        <w:t>顺义，累计成交</w:t>
      </w:r>
      <w:r>
        <w:rPr>
          <w:rFonts w:hint="eastAsia" w:ascii="Arial" w:hAnsi="Arial"/>
          <w:sz w:val="21"/>
          <w:szCs w:val="21"/>
        </w:rPr>
        <w:t>16.78</w:t>
      </w:r>
      <w:r>
        <w:rPr>
          <w:rFonts w:ascii="Arial" w:hAnsi="Arial"/>
          <w:sz w:val="21"/>
          <w:szCs w:val="21"/>
        </w:rPr>
        <w:t>万</w:t>
      </w:r>
      <w:r>
        <w:rPr>
          <w:rFonts w:hint="eastAsia" w:ascii="Arial" w:hAnsi="Arial"/>
          <w:sz w:val="21"/>
          <w:szCs w:val="21"/>
        </w:rPr>
        <w:t>平方米</w:t>
      </w:r>
      <w:r>
        <w:rPr>
          <w:rFonts w:ascii="Arial" w:hAnsi="Arial"/>
          <w:sz w:val="21"/>
          <w:szCs w:val="21"/>
        </w:rPr>
        <w:t>，占比为</w:t>
      </w:r>
      <w:r>
        <w:rPr>
          <w:rFonts w:hint="eastAsia" w:ascii="Arial" w:hAnsi="Arial"/>
          <w:sz w:val="21"/>
          <w:szCs w:val="21"/>
        </w:rPr>
        <w:t>52</w:t>
      </w:r>
      <w:r>
        <w:rPr>
          <w:rFonts w:ascii="Arial" w:hAnsi="Arial"/>
          <w:sz w:val="21"/>
          <w:szCs w:val="21"/>
        </w:rPr>
        <w:t>%，较去年同期下降</w:t>
      </w:r>
      <w:r>
        <w:rPr>
          <w:rFonts w:hint="eastAsia" w:ascii="Arial" w:hAnsi="Arial"/>
          <w:sz w:val="21"/>
          <w:szCs w:val="21"/>
        </w:rPr>
        <w:t>33</w:t>
      </w:r>
      <w:r>
        <w:rPr>
          <w:rFonts w:ascii="Arial" w:hAnsi="Arial"/>
          <w:sz w:val="21"/>
          <w:szCs w:val="21"/>
        </w:rPr>
        <w:t>个百分点；</w:t>
      </w:r>
      <w:r>
        <w:rPr>
          <w:rFonts w:hint="eastAsia" w:ascii="Arial" w:hAnsi="Arial"/>
          <w:sz w:val="21"/>
          <w:szCs w:val="21"/>
        </w:rPr>
        <w:t>延庆</w:t>
      </w:r>
      <w:r>
        <w:rPr>
          <w:rFonts w:ascii="Arial" w:hAnsi="Arial"/>
          <w:sz w:val="21"/>
          <w:szCs w:val="21"/>
        </w:rPr>
        <w:t>区成交</w:t>
      </w:r>
      <w:r>
        <w:rPr>
          <w:rFonts w:hint="eastAsia" w:ascii="Arial" w:hAnsi="Arial"/>
          <w:sz w:val="21"/>
          <w:szCs w:val="21"/>
        </w:rPr>
        <w:t>1宗宅地，占比11%。</w:t>
      </w:r>
    </w:p>
    <w:p w14:paraId="3376B69A">
      <w:pPr>
        <w:overflowPunct w:val="0"/>
        <w:spacing w:line="360" w:lineRule="auto"/>
        <w:jc w:val="center"/>
        <w:textAlignment w:val="auto"/>
        <w:rPr>
          <w:rFonts w:ascii="Arial" w:hAnsi="Arial" w:eastAsia="仿宋_GB2312"/>
          <w:bCs/>
          <w:sz w:val="28"/>
          <w:szCs w:val="28"/>
        </w:rPr>
      </w:pPr>
      <w:r>
        <w:drawing>
          <wp:inline distT="0" distB="0" distL="114300" distR="114300">
            <wp:extent cx="5906135" cy="2948940"/>
            <wp:effectExtent l="0" t="0" r="6985"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9"/>
                    <a:stretch>
                      <a:fillRect/>
                    </a:stretch>
                  </pic:blipFill>
                  <pic:spPr>
                    <a:xfrm>
                      <a:off x="0" y="0"/>
                      <a:ext cx="5906135" cy="2948940"/>
                    </a:xfrm>
                    <a:prstGeom prst="rect">
                      <a:avLst/>
                    </a:prstGeom>
                    <a:noFill/>
                    <a:ln>
                      <a:noFill/>
                    </a:ln>
                  </pic:spPr>
                </pic:pic>
              </a:graphicData>
            </a:graphic>
          </wp:inline>
        </w:drawing>
      </w:r>
    </w:p>
    <w:p w14:paraId="3EEB8105">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164FB3E7">
      <w:pPr>
        <w:widowControl/>
        <w:overflowPunct w:val="0"/>
        <w:adjustRightInd/>
        <w:spacing w:line="480" w:lineRule="auto"/>
        <w:jc w:val="center"/>
        <w:textAlignment w:val="auto"/>
      </w:pPr>
      <w:r>
        <w:drawing>
          <wp:inline distT="0" distB="0" distL="114300" distR="114300">
            <wp:extent cx="3623310" cy="3129915"/>
            <wp:effectExtent l="0" t="0" r="381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0"/>
                    <a:stretch>
                      <a:fillRect/>
                    </a:stretch>
                  </pic:blipFill>
                  <pic:spPr>
                    <a:xfrm>
                      <a:off x="0" y="0"/>
                      <a:ext cx="3623310" cy="3129915"/>
                    </a:xfrm>
                    <a:prstGeom prst="rect">
                      <a:avLst/>
                    </a:prstGeom>
                    <a:noFill/>
                    <a:ln>
                      <a:noFill/>
                    </a:ln>
                  </pic:spPr>
                </pic:pic>
              </a:graphicData>
            </a:graphic>
          </wp:inline>
        </w:drawing>
      </w:r>
    </w:p>
    <w:p w14:paraId="7BA5D862">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B004338">
      <w:pPr>
        <w:widowControl/>
        <w:overflowPunct w:val="0"/>
        <w:adjustRightInd/>
        <w:spacing w:line="480" w:lineRule="auto"/>
        <w:ind w:firstLine="420" w:firstLineChars="200"/>
        <w:jc w:val="both"/>
        <w:textAlignment w:val="auto"/>
        <w:rPr>
          <w:rFonts w:ascii="Arial" w:hAnsi="Arial"/>
          <w:sz w:val="21"/>
          <w:szCs w:val="21"/>
        </w:rPr>
      </w:pPr>
      <w:r>
        <w:rPr>
          <w:rFonts w:ascii="Arial" w:hAnsi="Arial"/>
          <w:sz w:val="21"/>
          <w:szCs w:val="21"/>
        </w:rPr>
        <w:t>2025年</w:t>
      </w:r>
      <w:r>
        <w:rPr>
          <w:rFonts w:hint="eastAsia" w:ascii="Arial" w:hAnsi="Arial"/>
          <w:sz w:val="21"/>
          <w:szCs w:val="21"/>
        </w:rPr>
        <w:t>三季度</w:t>
      </w:r>
      <w:r>
        <w:rPr>
          <w:rFonts w:ascii="Arial" w:hAnsi="Arial"/>
          <w:sz w:val="21"/>
          <w:szCs w:val="21"/>
        </w:rPr>
        <w:t>，在</w:t>
      </w:r>
      <w:r>
        <w:rPr>
          <w:rFonts w:hint="eastAsia" w:ascii="Arial" w:hAnsi="Arial"/>
          <w:sz w:val="21"/>
          <w:szCs w:val="21"/>
        </w:rPr>
        <w:t>朝阳太阳宫、呼家楼以及丰台岳各庄</w:t>
      </w:r>
      <w:r>
        <w:rPr>
          <w:rFonts w:ascii="Arial" w:hAnsi="Arial"/>
          <w:sz w:val="21"/>
          <w:szCs w:val="21"/>
        </w:rPr>
        <w:t>地块带动下，北京宅地整体成交楼面均价</w:t>
      </w:r>
      <w:r>
        <w:rPr>
          <w:rFonts w:hint="eastAsia" w:ascii="Arial" w:hAnsi="Arial"/>
          <w:sz w:val="21"/>
          <w:szCs w:val="21"/>
        </w:rPr>
        <w:t>36161</w:t>
      </w:r>
      <w:r>
        <w:rPr>
          <w:rFonts w:ascii="Arial" w:hAnsi="Arial"/>
          <w:sz w:val="21"/>
          <w:szCs w:val="21"/>
        </w:rPr>
        <w:t>元/</w:t>
      </w:r>
      <w:r>
        <w:rPr>
          <w:rFonts w:hint="eastAsia" w:ascii="Arial" w:hAnsi="Arial"/>
          <w:sz w:val="21"/>
          <w:szCs w:val="21"/>
        </w:rPr>
        <w:t>平方米</w:t>
      </w:r>
      <w:r>
        <w:rPr>
          <w:rFonts w:ascii="Arial" w:hAnsi="Arial"/>
          <w:sz w:val="21"/>
          <w:szCs w:val="21"/>
        </w:rPr>
        <w:t>，同比增长</w:t>
      </w:r>
      <w:r>
        <w:rPr>
          <w:rFonts w:hint="eastAsia" w:ascii="Arial" w:hAnsi="Arial"/>
          <w:sz w:val="21"/>
          <w:szCs w:val="21"/>
        </w:rPr>
        <w:t>41.4</w:t>
      </w:r>
      <w:r>
        <w:rPr>
          <w:rFonts w:ascii="Arial" w:hAnsi="Arial"/>
          <w:sz w:val="21"/>
          <w:szCs w:val="21"/>
        </w:rPr>
        <w:t>%。溢价率方面，受</w:t>
      </w:r>
      <w:r>
        <w:rPr>
          <w:rFonts w:hint="eastAsia" w:ascii="Arial" w:hAnsi="Arial"/>
          <w:sz w:val="21"/>
          <w:szCs w:val="21"/>
        </w:rPr>
        <w:t>朝阳太阳宫</w:t>
      </w:r>
      <w:r>
        <w:rPr>
          <w:rFonts w:ascii="Arial" w:hAnsi="Arial"/>
          <w:sz w:val="21"/>
          <w:szCs w:val="21"/>
        </w:rPr>
        <w:t>高溢价地块的带动下，</w:t>
      </w:r>
      <w:r>
        <w:rPr>
          <w:rFonts w:hint="eastAsia" w:ascii="Arial" w:hAnsi="Arial"/>
          <w:sz w:val="21"/>
          <w:szCs w:val="21"/>
        </w:rPr>
        <w:t>三季度</w:t>
      </w:r>
      <w:r>
        <w:rPr>
          <w:rFonts w:ascii="Arial" w:hAnsi="Arial"/>
          <w:sz w:val="21"/>
          <w:szCs w:val="21"/>
        </w:rPr>
        <w:t>北京宅地成交溢价率</w:t>
      </w:r>
      <w:r>
        <w:rPr>
          <w:rFonts w:hint="eastAsia" w:ascii="Arial" w:hAnsi="Arial"/>
          <w:sz w:val="21"/>
          <w:szCs w:val="21"/>
        </w:rPr>
        <w:t>11.7</w:t>
      </w:r>
      <w:r>
        <w:rPr>
          <w:rFonts w:ascii="Arial" w:hAnsi="Arial"/>
          <w:sz w:val="21"/>
          <w:szCs w:val="21"/>
        </w:rPr>
        <w:t>%，同比提升</w:t>
      </w:r>
      <w:r>
        <w:rPr>
          <w:rFonts w:hint="eastAsia" w:ascii="Arial" w:hAnsi="Arial"/>
          <w:sz w:val="21"/>
          <w:szCs w:val="21"/>
        </w:rPr>
        <w:t>10.4</w:t>
      </w:r>
      <w:r>
        <w:rPr>
          <w:rFonts w:ascii="Arial" w:hAnsi="Arial"/>
          <w:sz w:val="21"/>
          <w:szCs w:val="21"/>
        </w:rPr>
        <w:t>个百分点。整体来看</w:t>
      </w:r>
      <w:r>
        <w:rPr>
          <w:rFonts w:hint="eastAsia" w:ascii="Arial" w:hAnsi="Arial"/>
          <w:sz w:val="21"/>
          <w:szCs w:val="21"/>
        </w:rPr>
        <w:t>，三季度北京宅地市场热度较低，仅太阳宫地块热度较高，经过超330轮现场举牌竞价成交，溢价率39.18%</w:t>
      </w:r>
      <w:r>
        <w:rPr>
          <w:rFonts w:ascii="Arial" w:hAnsi="Arial"/>
          <w:sz w:val="21"/>
          <w:szCs w:val="21"/>
        </w:rPr>
        <w:t>，</w:t>
      </w:r>
      <w:r>
        <w:rPr>
          <w:rFonts w:hint="eastAsia" w:ascii="Arial" w:hAnsi="Arial"/>
          <w:sz w:val="21"/>
          <w:szCs w:val="21"/>
        </w:rPr>
        <w:t>而其余6</w:t>
      </w:r>
      <w:r>
        <w:rPr>
          <w:rFonts w:ascii="Arial" w:hAnsi="Arial"/>
          <w:sz w:val="21"/>
          <w:szCs w:val="21"/>
        </w:rPr>
        <w:t>宗地块</w:t>
      </w:r>
      <w:r>
        <w:rPr>
          <w:rFonts w:hint="eastAsia" w:ascii="Arial" w:hAnsi="Arial"/>
          <w:sz w:val="21"/>
          <w:szCs w:val="21"/>
        </w:rPr>
        <w:t>均</w:t>
      </w:r>
      <w:r>
        <w:rPr>
          <w:rFonts w:ascii="Arial" w:hAnsi="Arial"/>
          <w:sz w:val="21"/>
          <w:szCs w:val="21"/>
        </w:rPr>
        <w:t>以底价成交。</w:t>
      </w:r>
    </w:p>
    <w:p w14:paraId="2B7C02F2">
      <w:pPr>
        <w:spacing w:line="480" w:lineRule="auto"/>
        <w:jc w:val="center"/>
        <w:rPr>
          <w:rFonts w:ascii="Arial" w:hAnsi="Arial" w:cs="Arial"/>
          <w:sz w:val="21"/>
          <w:szCs w:val="21"/>
        </w:rPr>
      </w:pPr>
      <w:r>
        <w:drawing>
          <wp:inline distT="0" distB="0" distL="114300" distR="114300">
            <wp:extent cx="5323205" cy="298577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stretch>
                      <a:fillRect/>
                    </a:stretch>
                  </pic:blipFill>
                  <pic:spPr>
                    <a:xfrm>
                      <a:off x="0" y="0"/>
                      <a:ext cx="5323205" cy="2985770"/>
                    </a:xfrm>
                    <a:prstGeom prst="rect">
                      <a:avLst/>
                    </a:prstGeom>
                    <a:noFill/>
                    <a:ln>
                      <a:noFill/>
                    </a:ln>
                  </pic:spPr>
                </pic:pic>
              </a:graphicData>
            </a:graphic>
          </wp:inline>
        </w:drawing>
      </w:r>
    </w:p>
    <w:p w14:paraId="55F97A1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1716DA2F">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7B5F66C1">
      <w:pPr>
        <w:spacing w:line="360" w:lineRule="auto"/>
        <w:ind w:firstLine="420" w:firstLineChars="200"/>
        <w:jc w:val="both"/>
        <w:outlineLvl w:val="0"/>
        <w:rPr>
          <w:rFonts w:ascii="Arial" w:hAnsi="Arial"/>
          <w:sz w:val="21"/>
          <w:szCs w:val="28"/>
        </w:rPr>
      </w:pPr>
      <w:r>
        <w:rPr>
          <w:rFonts w:ascii="Arial" w:hAnsi="Arial"/>
          <w:sz w:val="21"/>
          <w:szCs w:val="21"/>
        </w:rPr>
        <w:t>2025年</w:t>
      </w:r>
      <w:r>
        <w:rPr>
          <w:rFonts w:hint="eastAsia" w:ascii="Arial" w:hAnsi="Arial"/>
          <w:sz w:val="21"/>
          <w:szCs w:val="21"/>
        </w:rPr>
        <w:t>三季度，</w:t>
      </w:r>
      <w:r>
        <w:rPr>
          <w:rFonts w:ascii="Arial" w:hAnsi="Arial"/>
          <w:sz w:val="21"/>
          <w:szCs w:val="21"/>
        </w:rPr>
        <w:t>北京商品住宅（不含保障</w:t>
      </w:r>
      <w:r>
        <w:rPr>
          <w:rFonts w:hint="eastAsia" w:ascii="Arial" w:hAnsi="Arial"/>
          <w:sz w:val="21"/>
          <w:szCs w:val="21"/>
        </w:rPr>
        <w:t>性住</w:t>
      </w:r>
      <w:r>
        <w:rPr>
          <w:rFonts w:ascii="Arial" w:hAnsi="Arial"/>
          <w:sz w:val="21"/>
          <w:szCs w:val="21"/>
        </w:rPr>
        <w:t>房）累计供应</w:t>
      </w:r>
      <w:r>
        <w:rPr>
          <w:rFonts w:hint="eastAsia" w:ascii="Arial" w:hAnsi="Arial"/>
          <w:sz w:val="21"/>
          <w:szCs w:val="21"/>
        </w:rPr>
        <w:t>100</w:t>
      </w:r>
      <w:r>
        <w:rPr>
          <w:rFonts w:ascii="Arial" w:hAnsi="Arial"/>
          <w:sz w:val="21"/>
          <w:szCs w:val="21"/>
        </w:rPr>
        <w:t>万</w:t>
      </w:r>
      <w:r>
        <w:rPr>
          <w:rFonts w:hint="eastAsia" w:ascii="Arial" w:hAnsi="Arial"/>
          <w:sz w:val="21"/>
          <w:szCs w:val="21"/>
        </w:rPr>
        <w:t>平方米</w:t>
      </w:r>
      <w:r>
        <w:rPr>
          <w:rFonts w:ascii="Arial" w:hAnsi="Arial"/>
          <w:sz w:val="21"/>
          <w:szCs w:val="21"/>
        </w:rPr>
        <w:t>，</w:t>
      </w:r>
      <w:r>
        <w:rPr>
          <w:rFonts w:hint="eastAsia" w:ascii="Arial" w:hAnsi="Arial"/>
          <w:sz w:val="21"/>
          <w:szCs w:val="21"/>
        </w:rPr>
        <w:t>月均供应量居近几年同期低位</w:t>
      </w:r>
      <w:r>
        <w:rPr>
          <w:rFonts w:ascii="Arial" w:hAnsi="Arial"/>
          <w:sz w:val="21"/>
          <w:szCs w:val="21"/>
        </w:rPr>
        <w:t>。</w:t>
      </w:r>
      <w:r>
        <w:rPr>
          <w:rFonts w:hint="eastAsia" w:ascii="Arial" w:hAnsi="Arial"/>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339213A3">
      <w:pPr>
        <w:overflowPunct w:val="0"/>
        <w:spacing w:line="480" w:lineRule="auto"/>
        <w:jc w:val="center"/>
        <w:textAlignment w:val="auto"/>
        <w:rPr>
          <w:rFonts w:ascii="Arial" w:hAnsi="Arial"/>
          <w:sz w:val="21"/>
          <w:szCs w:val="28"/>
        </w:rPr>
      </w:pPr>
      <w:r>
        <w:drawing>
          <wp:inline distT="0" distB="0" distL="114300" distR="114300">
            <wp:extent cx="5618480" cy="3284220"/>
            <wp:effectExtent l="0" t="0" r="508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a:stretch>
                      <a:fillRect/>
                    </a:stretch>
                  </pic:blipFill>
                  <pic:spPr>
                    <a:xfrm>
                      <a:off x="0" y="0"/>
                      <a:ext cx="5618480" cy="3284220"/>
                    </a:xfrm>
                    <a:prstGeom prst="rect">
                      <a:avLst/>
                    </a:prstGeom>
                    <a:noFill/>
                    <a:ln>
                      <a:noFill/>
                    </a:ln>
                  </pic:spPr>
                </pic:pic>
              </a:graphicData>
            </a:graphic>
          </wp:inline>
        </w:drawing>
      </w:r>
    </w:p>
    <w:p w14:paraId="0152246B">
      <w:pPr>
        <w:spacing w:line="360" w:lineRule="auto"/>
        <w:ind w:firstLine="420" w:firstLineChars="200"/>
        <w:jc w:val="both"/>
        <w:outlineLvl w:val="0"/>
        <w:rPr>
          <w:rFonts w:ascii="Arial" w:hAnsi="Arial"/>
          <w:sz w:val="21"/>
          <w:szCs w:val="21"/>
        </w:rPr>
      </w:pPr>
      <w:r>
        <w:rPr>
          <w:rFonts w:ascii="Arial" w:hAnsi="Arial"/>
          <w:sz w:val="21"/>
          <w:szCs w:val="21"/>
        </w:rPr>
        <w:t>2025年三季度北京商品住宅（不含保障房）库存规模同比增加，但仍居近年同期低位。截至</w:t>
      </w:r>
      <w:r>
        <w:rPr>
          <w:rFonts w:hint="eastAsia" w:ascii="Arial" w:hAnsi="Arial"/>
          <w:sz w:val="21"/>
          <w:szCs w:val="21"/>
        </w:rPr>
        <w:t>9</w:t>
      </w:r>
      <w:r>
        <w:rPr>
          <w:rFonts w:ascii="Arial" w:hAnsi="Arial"/>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sz w:val="21"/>
          <w:szCs w:val="21"/>
        </w:rPr>
        <w:t>去化速度明显加快，叠加库存规模的逐步回落，出清周期呈现出明显的下滑趋势；进入2025年，伴随着需求的逐步释放，市场去化速度放缓，出清周期再次波动回升，截</w:t>
      </w:r>
      <w:r>
        <w:rPr>
          <w:rFonts w:ascii="Arial" w:hAnsi="Arial"/>
          <w:sz w:val="21"/>
          <w:szCs w:val="21"/>
        </w:rPr>
        <w:t>止到9月去化周期回升至23.0个月。</w:t>
      </w:r>
    </w:p>
    <w:p w14:paraId="66F48E91">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5904865" cy="1840865"/>
                    </a:xfrm>
                    <a:prstGeom prst="rect">
                      <a:avLst/>
                    </a:prstGeom>
                    <a:noFill/>
                    <a:ln>
                      <a:noFill/>
                    </a:ln>
                  </pic:spPr>
                </pic:pic>
              </a:graphicData>
            </a:graphic>
          </wp:inline>
        </w:drawing>
      </w:r>
    </w:p>
    <w:p w14:paraId="22B18BCA">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BFC6285">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92DBB5D">
      <w:pPr>
        <w:spacing w:line="360" w:lineRule="auto"/>
        <w:ind w:firstLine="420" w:firstLineChars="200"/>
        <w:jc w:val="both"/>
        <w:outlineLvl w:val="0"/>
        <w:rPr>
          <w:rFonts w:ascii="Arial" w:hAnsi="Arial"/>
          <w:sz w:val="21"/>
          <w:szCs w:val="28"/>
        </w:rPr>
      </w:pPr>
      <w:r>
        <w:rPr>
          <w:rFonts w:ascii="Arial" w:hAnsi="Arial"/>
          <w:sz w:val="21"/>
          <w:szCs w:val="21"/>
        </w:rPr>
        <w:t>2025年三季度北京市场活跃度下滑，成交规模同环比均有所减少。2025年1-9月北京新房市场累计成交规模为338.49万</w:t>
      </w:r>
      <w:r>
        <w:rPr>
          <w:rFonts w:hint="eastAsia" w:ascii="Arial" w:hAnsi="Arial"/>
          <w:sz w:val="21"/>
          <w:szCs w:val="21"/>
        </w:rPr>
        <w:t>平方米</w:t>
      </w:r>
      <w:r>
        <w:rPr>
          <w:rFonts w:ascii="Arial" w:hAnsi="Arial"/>
          <w:sz w:val="21"/>
          <w:szCs w:val="21"/>
        </w:rPr>
        <w:t>，同比增加12%。其中，三季度来看，北京新房市场活跃度同环比均有所回落，市场活跃度有所下滑，商品住宅累计成交规模约为105.73万</w:t>
      </w:r>
      <w:r>
        <w:rPr>
          <w:rFonts w:hint="eastAsia" w:ascii="Arial" w:hAnsi="Arial"/>
          <w:sz w:val="21"/>
          <w:szCs w:val="21"/>
        </w:rPr>
        <w:t>平方米</w:t>
      </w:r>
      <w:r>
        <w:rPr>
          <w:rFonts w:ascii="Arial" w:hAnsi="Arial"/>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429C6880">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4"/>
                    <a:stretch>
                      <a:fillRect/>
                    </a:stretch>
                  </pic:blipFill>
                  <pic:spPr>
                    <a:xfrm>
                      <a:off x="0" y="0"/>
                      <a:ext cx="5904865" cy="1668145"/>
                    </a:xfrm>
                    <a:prstGeom prst="rect">
                      <a:avLst/>
                    </a:prstGeom>
                    <a:noFill/>
                    <a:ln>
                      <a:noFill/>
                    </a:ln>
                  </pic:spPr>
                </pic:pic>
              </a:graphicData>
            </a:graphic>
          </wp:inline>
        </w:drawing>
      </w:r>
    </w:p>
    <w:p w14:paraId="673EF847">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76C16C9">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B05C571">
      <w:pPr>
        <w:spacing w:line="360" w:lineRule="auto"/>
        <w:ind w:firstLine="420" w:firstLineChars="200"/>
        <w:jc w:val="both"/>
        <w:outlineLvl w:val="0"/>
        <w:rPr>
          <w:rFonts w:ascii="Arial" w:hAnsi="Arial"/>
          <w:sz w:val="21"/>
          <w:szCs w:val="28"/>
        </w:rPr>
      </w:pPr>
      <w:r>
        <w:rPr>
          <w:rFonts w:ascii="Arial" w:hAnsi="Arial"/>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3B7FA981">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5904865" cy="1835785"/>
                    </a:xfrm>
                    <a:prstGeom prst="rect">
                      <a:avLst/>
                    </a:prstGeom>
                    <a:noFill/>
                    <a:ln>
                      <a:noFill/>
                    </a:ln>
                  </pic:spPr>
                </pic:pic>
              </a:graphicData>
            </a:graphic>
          </wp:inline>
        </w:drawing>
      </w:r>
    </w:p>
    <w:p w14:paraId="474EB803">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26D8578">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60" w:name="OLE_LINK10"/>
      <w:r>
        <w:rPr>
          <w:rFonts w:hint="eastAsia" w:ascii="Arial" w:hAnsi="Arial"/>
          <w:sz w:val="21"/>
          <w:szCs w:val="28"/>
        </w:rPr>
        <w:t>元</w:t>
      </w:r>
      <w:bookmarkEnd w:id="60"/>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7162C59A">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6212E1AC">
      <w:pPr>
        <w:overflowPunct w:val="0"/>
        <w:spacing w:line="480" w:lineRule="auto"/>
        <w:jc w:val="center"/>
        <w:textAlignment w:val="auto"/>
      </w:pPr>
      <w: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6"/>
                    <a:stretch>
                      <a:fillRect/>
                    </a:stretch>
                  </pic:blipFill>
                  <pic:spPr>
                    <a:xfrm>
                      <a:off x="0" y="0"/>
                      <a:ext cx="5899785" cy="1706880"/>
                    </a:xfrm>
                    <a:prstGeom prst="rect">
                      <a:avLst/>
                    </a:prstGeom>
                    <a:noFill/>
                    <a:ln>
                      <a:noFill/>
                    </a:ln>
                  </pic:spPr>
                </pic:pic>
              </a:graphicData>
            </a:graphic>
          </wp:inline>
        </w:drawing>
      </w:r>
    </w:p>
    <w:p w14:paraId="61E22AB8">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0E08BE8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23D150A8">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CA90100">
      <w:pPr>
        <w:tabs>
          <w:tab w:val="left" w:pos="0"/>
        </w:tabs>
        <w:overflowPunct w:val="0"/>
        <w:spacing w:line="480" w:lineRule="auto"/>
        <w:jc w:val="center"/>
        <w:textAlignment w:val="auto"/>
      </w:pPr>
      <w:r>
        <w:drawing>
          <wp:inline distT="0" distB="0" distL="114300" distR="114300">
            <wp:extent cx="5908040" cy="194183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7"/>
                    <a:stretch>
                      <a:fillRect/>
                    </a:stretch>
                  </pic:blipFill>
                  <pic:spPr>
                    <a:xfrm>
                      <a:off x="0" y="0"/>
                      <a:ext cx="5908040" cy="1941830"/>
                    </a:xfrm>
                    <a:prstGeom prst="rect">
                      <a:avLst/>
                    </a:prstGeom>
                    <a:noFill/>
                    <a:ln>
                      <a:noFill/>
                    </a:ln>
                  </pic:spPr>
                </pic:pic>
              </a:graphicData>
            </a:graphic>
          </wp:inline>
        </w:drawing>
      </w:r>
    </w:p>
    <w:p w14:paraId="3F5199D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452DB0B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F959EAE">
      <w:pPr>
        <w:widowControl/>
        <w:spacing w:line="360" w:lineRule="auto"/>
        <w:jc w:val="center"/>
        <w:rPr>
          <w:rFonts w:ascii="Arial" w:hAnsi="Arial" w:eastAsia="仿宋_GB2312" w:cs="Arial"/>
          <w:bCs/>
          <w:sz w:val="28"/>
          <w:szCs w:val="28"/>
        </w:rPr>
      </w:pPr>
      <w:r>
        <w:drawing>
          <wp:inline distT="0" distB="0" distL="114300" distR="114300">
            <wp:extent cx="5902325" cy="198501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5902325" cy="1985010"/>
                    </a:xfrm>
                    <a:prstGeom prst="rect">
                      <a:avLst/>
                    </a:prstGeom>
                    <a:noFill/>
                    <a:ln>
                      <a:noFill/>
                    </a:ln>
                  </pic:spPr>
                </pic:pic>
              </a:graphicData>
            </a:graphic>
          </wp:inline>
        </w:drawing>
      </w:r>
    </w:p>
    <w:p w14:paraId="6B04E8EA">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7651FD9C">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4DBE1EAC">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61" w:name="OLE_LINK11"/>
      <w:r>
        <w:rPr>
          <w:rFonts w:hint="eastAsia" w:ascii="Arial" w:hAnsi="Arial"/>
          <w:sz w:val="21"/>
          <w:szCs w:val="28"/>
        </w:rPr>
        <w:t>存量</w:t>
      </w:r>
      <w:bookmarkEnd w:id="61"/>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77BC6B90">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1E57F56C">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9"/>
                    <a:stretch>
                      <a:fillRect/>
                    </a:stretch>
                  </pic:blipFill>
                  <pic:spPr>
                    <a:xfrm>
                      <a:off x="0" y="0"/>
                      <a:ext cx="5904230" cy="1635125"/>
                    </a:xfrm>
                    <a:prstGeom prst="rect">
                      <a:avLst/>
                    </a:prstGeom>
                    <a:noFill/>
                    <a:ln>
                      <a:noFill/>
                    </a:ln>
                  </pic:spPr>
                </pic:pic>
              </a:graphicData>
            </a:graphic>
          </wp:inline>
        </w:drawing>
      </w:r>
    </w:p>
    <w:p w14:paraId="147AB938">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29082DCF">
      <w:pPr>
        <w:overflowPunct w:val="0"/>
        <w:spacing w:line="480" w:lineRule="auto"/>
        <w:ind w:firstLine="420"/>
        <w:jc w:val="both"/>
        <w:textAlignment w:val="auto"/>
        <w:rPr>
          <w:rFonts w:ascii="Arial" w:hAnsi="Arial"/>
          <w:sz w:val="21"/>
        </w:rPr>
      </w:pPr>
      <w:bookmarkStart w:id="62" w:name="OLE_LINK9"/>
      <w:bookmarkStart w:id="63" w:name="OLE_LINK8"/>
      <w:r>
        <w:rPr>
          <w:rFonts w:ascii="Arial" w:hAnsi="Arial"/>
          <w:sz w:val="21"/>
        </w:rPr>
        <w:t>分区域来看，</w:t>
      </w:r>
      <w:r>
        <w:rPr>
          <w:rFonts w:hint="eastAsia" w:ascii="Arial" w:hAnsi="Arial"/>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68104362">
      <w:pPr>
        <w:overflowPunct w:val="0"/>
        <w:spacing w:line="480" w:lineRule="auto"/>
        <w:ind w:firstLine="420"/>
        <w:jc w:val="both"/>
        <w:textAlignment w:val="auto"/>
        <w:rPr>
          <w:rFonts w:ascii="Arial" w:hAnsi="Arial"/>
          <w:sz w:val="21"/>
        </w:rPr>
      </w:pPr>
      <w:r>
        <w:rPr>
          <w:rFonts w:hint="eastAsia" w:ascii="Arial" w:hAnsi="Arial"/>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sz w:val="21"/>
        </w:rPr>
        <w:t>。</w:t>
      </w:r>
    </w:p>
    <w:p w14:paraId="5D1570E4">
      <w:pPr>
        <w:widowControl/>
        <w:spacing w:line="360" w:lineRule="auto"/>
        <w:jc w:val="center"/>
        <w:rPr>
          <w:rFonts w:ascii="Arial" w:hAnsi="Arial" w:eastAsia="仿宋_GB2312" w:cs="Arial"/>
          <w:bCs/>
          <w:sz w:val="28"/>
          <w:szCs w:val="28"/>
        </w:rPr>
      </w:pPr>
      <w:r>
        <w:drawing>
          <wp:inline distT="0" distB="0" distL="114300" distR="114300">
            <wp:extent cx="5908675" cy="2083435"/>
            <wp:effectExtent l="0" t="0" r="4445" b="444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0"/>
                    <a:stretch>
                      <a:fillRect/>
                    </a:stretch>
                  </pic:blipFill>
                  <pic:spPr>
                    <a:xfrm>
                      <a:off x="0" y="0"/>
                      <a:ext cx="5908675" cy="2083435"/>
                    </a:xfrm>
                    <a:prstGeom prst="rect">
                      <a:avLst/>
                    </a:prstGeom>
                    <a:noFill/>
                    <a:ln>
                      <a:noFill/>
                    </a:ln>
                  </pic:spPr>
                </pic:pic>
              </a:graphicData>
            </a:graphic>
          </wp:inline>
        </w:drawing>
      </w:r>
    </w:p>
    <w:p w14:paraId="10815859">
      <w:pPr>
        <w:overflowPunct w:val="0"/>
        <w:spacing w:line="480" w:lineRule="auto"/>
        <w:ind w:firstLine="420"/>
        <w:jc w:val="both"/>
        <w:textAlignment w:val="auto"/>
        <w:rPr>
          <w:rFonts w:ascii="Arial" w:hAnsi="Arial"/>
          <w:sz w:val="21"/>
        </w:rPr>
      </w:pPr>
      <w:r>
        <w:rPr>
          <w:rFonts w:ascii="Arial" w:hAnsi="Arial"/>
          <w:sz w:val="21"/>
        </w:rPr>
        <w:t>整体来看，北京市</w:t>
      </w:r>
      <w:r>
        <w:rPr>
          <w:rFonts w:hint="eastAsia" w:ascii="Arial" w:hAnsi="Arial"/>
          <w:sz w:val="21"/>
        </w:rPr>
        <w:t>存量</w:t>
      </w:r>
      <w:r>
        <w:rPr>
          <w:rFonts w:ascii="Arial" w:hAnsi="Arial"/>
          <w:sz w:val="21"/>
        </w:rPr>
        <w:t>房对新房市场的分流效应逐步增强。2021年以来，北京市</w:t>
      </w:r>
      <w:r>
        <w:rPr>
          <w:rFonts w:hint="eastAsia" w:ascii="Arial" w:hAnsi="Arial"/>
          <w:sz w:val="21"/>
        </w:rPr>
        <w:t>存量</w:t>
      </w:r>
      <w:r>
        <w:rPr>
          <w:rFonts w:ascii="Arial" w:hAnsi="Arial"/>
          <w:sz w:val="21"/>
        </w:rPr>
        <w:t>房成交占比波动增加。2025年三季度，北京新房市场虽有海淀、朝阳、通州 等项目的局部高热现象，但整体市场持续承压，累计成交套数不足1万套，为近年季度低位；</w:t>
      </w:r>
      <w:r>
        <w:rPr>
          <w:rFonts w:hint="eastAsia" w:ascii="Arial" w:hAnsi="Arial"/>
          <w:sz w:val="21"/>
        </w:rPr>
        <w:t>存量</w:t>
      </w:r>
      <w:r>
        <w:rPr>
          <w:rFonts w:ascii="Arial" w:hAnsi="Arial"/>
          <w:sz w:val="21"/>
        </w:rPr>
        <w:t>房市场热度虽有所下降，但成交套数依然保持较高水平。2025 年三季度北京</w:t>
      </w:r>
      <w:r>
        <w:rPr>
          <w:rFonts w:hint="eastAsia" w:ascii="Arial" w:hAnsi="Arial"/>
          <w:sz w:val="21"/>
        </w:rPr>
        <w:t>存量</w:t>
      </w:r>
      <w:r>
        <w:rPr>
          <w:rFonts w:ascii="Arial" w:hAnsi="Arial"/>
          <w:sz w:val="21"/>
        </w:rPr>
        <w:t>商品住宅累计成交套数占比升至81%，较上年同期提高4个百分点。</w:t>
      </w:r>
    </w:p>
    <w:p w14:paraId="2B4BEAD0">
      <w:pPr>
        <w:overflowPunct w:val="0"/>
        <w:spacing w:line="480" w:lineRule="auto"/>
        <w:jc w:val="both"/>
        <w:textAlignment w:val="auto"/>
        <w:rPr>
          <w:rFonts w:ascii="Arial" w:hAnsi="Arial"/>
          <w:sz w:val="21"/>
        </w:rPr>
      </w:pPr>
      <w:r>
        <w:drawing>
          <wp:inline distT="0" distB="0" distL="114300" distR="114300">
            <wp:extent cx="5910580" cy="1723390"/>
            <wp:effectExtent l="0" t="0" r="254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1"/>
                    <a:stretch>
                      <a:fillRect/>
                    </a:stretch>
                  </pic:blipFill>
                  <pic:spPr>
                    <a:xfrm>
                      <a:off x="0" y="0"/>
                      <a:ext cx="5910580" cy="1723390"/>
                    </a:xfrm>
                    <a:prstGeom prst="rect">
                      <a:avLst/>
                    </a:prstGeom>
                    <a:noFill/>
                    <a:ln>
                      <a:noFill/>
                    </a:ln>
                  </pic:spPr>
                </pic:pic>
              </a:graphicData>
            </a:graphic>
          </wp:inline>
        </w:drawing>
      </w:r>
    </w:p>
    <w:p w14:paraId="41D3BABA">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4.产业政策</w:t>
      </w:r>
    </w:p>
    <w:p w14:paraId="1D37BDBB">
      <w:pPr>
        <w:overflowPunct w:val="0"/>
        <w:spacing w:line="480" w:lineRule="auto"/>
        <w:ind w:firstLine="420"/>
        <w:jc w:val="both"/>
        <w:textAlignment w:val="auto"/>
        <w:rPr>
          <w:rFonts w:ascii="Arial" w:hAnsi="Arial"/>
          <w:b/>
          <w:sz w:val="21"/>
        </w:rPr>
      </w:pPr>
      <w:r>
        <w:rPr>
          <w:rFonts w:hint="eastAsia" w:ascii="Arial" w:hAnsi="Arial"/>
          <w:b/>
          <w:sz w:val="21"/>
        </w:rPr>
        <w:t>全国：</w:t>
      </w:r>
    </w:p>
    <w:p w14:paraId="32EFDAF7">
      <w:pPr>
        <w:overflowPunct w:val="0"/>
        <w:spacing w:line="480" w:lineRule="auto"/>
        <w:ind w:firstLine="420"/>
        <w:jc w:val="both"/>
        <w:textAlignment w:val="auto"/>
        <w:rPr>
          <w:rFonts w:ascii="Arial" w:hAnsi="Arial"/>
          <w:sz w:val="21"/>
        </w:rPr>
      </w:pPr>
      <w:r>
        <w:rPr>
          <w:rFonts w:ascii="Arial" w:hAnsi="Arial"/>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sz w:val="21"/>
        </w:rPr>
        <w:t>一、</w:t>
      </w:r>
      <w:r>
        <w:rPr>
          <w:rFonts w:ascii="Arial" w:hAnsi="Arial"/>
          <w:sz w:val="21"/>
        </w:rPr>
        <w:t>商品房建设：严控增量、优化存量、提高质量，意味着未来土地和住房供应将结合城市实际需求，不能盲目扩大。</w:t>
      </w:r>
      <w:r>
        <w:rPr>
          <w:rFonts w:hint="eastAsia" w:ascii="Arial" w:hAnsi="Arial"/>
          <w:sz w:val="21"/>
        </w:rPr>
        <w:t>二、</w:t>
      </w:r>
      <w:r>
        <w:rPr>
          <w:rFonts w:ascii="Arial" w:hAnsi="Arial"/>
          <w:sz w:val="21"/>
        </w:rPr>
        <w:t>住房限购政策：调整住房限购政策，降低存量房贷利率，以提振市场信心。</w:t>
      </w:r>
      <w:r>
        <w:rPr>
          <w:rFonts w:hint="eastAsia" w:ascii="Arial" w:hAnsi="Arial"/>
          <w:sz w:val="21"/>
        </w:rPr>
        <w:t>三、</w:t>
      </w:r>
      <w:r>
        <w:rPr>
          <w:rFonts w:ascii="Arial" w:hAnsi="Arial"/>
          <w:sz w:val="21"/>
        </w:rPr>
        <w:t>项目贷款：加大“白名单”项目贷款投放力度，支持盘活存量闲置土地。</w:t>
      </w:r>
      <w:r>
        <w:rPr>
          <w:rFonts w:hint="eastAsia" w:ascii="Arial" w:hAnsi="Arial"/>
          <w:sz w:val="21"/>
        </w:rPr>
        <w:t>四、</w:t>
      </w:r>
      <w:r>
        <w:rPr>
          <w:rFonts w:ascii="Arial" w:hAnsi="Arial"/>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sz w:val="21"/>
        </w:rPr>
        <w:t>。</w:t>
      </w:r>
    </w:p>
    <w:p w14:paraId="4777A8A7">
      <w:pPr>
        <w:overflowPunct w:val="0"/>
        <w:spacing w:line="480" w:lineRule="auto"/>
        <w:ind w:firstLine="420"/>
        <w:jc w:val="both"/>
        <w:textAlignment w:val="auto"/>
        <w:rPr>
          <w:rFonts w:ascii="Arial" w:hAnsi="Arial"/>
          <w:sz w:val="21"/>
        </w:rPr>
      </w:pPr>
      <w:r>
        <w:rPr>
          <w:rFonts w:hint="eastAsia" w:ascii="Arial" w:hAnsi="Arial"/>
          <w:sz w:val="21"/>
        </w:rPr>
        <w:t>2024</w:t>
      </w:r>
      <w:r>
        <w:rPr>
          <w:rFonts w:ascii="Arial" w:hAnsi="Arial"/>
          <w:sz w:val="21"/>
        </w:rPr>
        <w:t>年12月11日至12日，202</w:t>
      </w:r>
      <w:r>
        <w:rPr>
          <w:rFonts w:hint="eastAsia" w:ascii="Arial" w:hAnsi="Arial"/>
          <w:sz w:val="21"/>
        </w:rPr>
        <w:t>4</w:t>
      </w:r>
      <w:r>
        <w:rPr>
          <w:rFonts w:ascii="Arial" w:hAnsi="Arial"/>
          <w:sz w:val="21"/>
        </w:rPr>
        <w:t>年中央经济工作会议举行</w:t>
      </w:r>
      <w:r>
        <w:rPr>
          <w:rFonts w:hint="eastAsia" w:ascii="Arial" w:hAnsi="Arial"/>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4A4F3E1">
      <w:pPr>
        <w:overflowPunct w:val="0"/>
        <w:spacing w:line="480" w:lineRule="auto"/>
        <w:ind w:firstLine="420"/>
        <w:jc w:val="both"/>
        <w:textAlignment w:val="auto"/>
        <w:rPr>
          <w:rFonts w:ascii="Arial" w:hAnsi="Arial"/>
          <w:sz w:val="21"/>
        </w:rPr>
      </w:pPr>
      <w:r>
        <w:rPr>
          <w:rFonts w:hint="eastAsia" w:ascii="Arial" w:hAnsi="Arial"/>
          <w:sz w:val="21"/>
        </w:rPr>
        <w:t>2024年</w:t>
      </w:r>
      <w:r>
        <w:rPr>
          <w:rFonts w:ascii="Arial" w:hAnsi="Arial"/>
          <w:sz w:val="21"/>
        </w:rPr>
        <w:t>12月24日至25日，全国住房城乡建设工作会议在北京召开</w:t>
      </w:r>
      <w:r>
        <w:rPr>
          <w:rFonts w:hint="eastAsia" w:ascii="Arial" w:hAnsi="Arial"/>
          <w:sz w:val="21"/>
        </w:rPr>
        <w:t>。</w:t>
      </w:r>
      <w:r>
        <w:rPr>
          <w:rFonts w:ascii="Arial" w:hAnsi="Arial"/>
          <w:sz w:val="21"/>
        </w:rPr>
        <w:t>会议系统总结2024年工作，部署进一步全面深化住房城乡建设领域改革，明确2025年重点任务，奋力推进住房城乡建设事业高质量发展。会议强调，2</w:t>
      </w:r>
      <w:r>
        <w:rPr>
          <w:rFonts w:hint="eastAsia" w:ascii="Arial" w:hAnsi="Arial"/>
          <w:sz w:val="21"/>
        </w:rPr>
        <w:t>025</w:t>
      </w:r>
      <w:r>
        <w:rPr>
          <w:rFonts w:ascii="Arial" w:hAnsi="Arial"/>
          <w:sz w:val="21"/>
        </w:rPr>
        <w:t>年的工作要重点抓好</w:t>
      </w:r>
      <w:r>
        <w:rPr>
          <w:rFonts w:hint="eastAsia" w:ascii="Arial" w:hAnsi="Arial"/>
          <w:sz w:val="21"/>
        </w:rPr>
        <w:t>5</w:t>
      </w:r>
      <w:r>
        <w:rPr>
          <w:rFonts w:ascii="Arial" w:hAnsi="Arial"/>
          <w:sz w:val="21"/>
        </w:rPr>
        <w:t>大板块</w:t>
      </w:r>
      <w:r>
        <w:rPr>
          <w:rFonts w:hint="eastAsia" w:ascii="Arial" w:hAnsi="Arial"/>
          <w:sz w:val="21"/>
        </w:rPr>
        <w:t>22</w:t>
      </w:r>
      <w:r>
        <w:rPr>
          <w:rFonts w:ascii="Arial" w:hAnsi="Arial"/>
          <w:sz w:val="21"/>
        </w:rPr>
        <w:t>个方面工作。一、</w:t>
      </w:r>
      <w:r>
        <w:rPr>
          <w:rFonts w:hint="eastAsia" w:ascii="Arial" w:hAnsi="Arial"/>
          <w:sz w:val="21"/>
        </w:rPr>
        <w:t>从</w:t>
      </w:r>
      <w:r>
        <w:rPr>
          <w:rFonts w:ascii="Arial" w:hAnsi="Arial"/>
          <w:sz w:val="21"/>
        </w:rPr>
        <w:t>着力释放需求</w:t>
      </w:r>
      <w:r>
        <w:rPr>
          <w:rFonts w:hint="eastAsia" w:ascii="Arial" w:hAnsi="Arial"/>
          <w:sz w:val="21"/>
        </w:rPr>
        <w:t>和着力</w:t>
      </w:r>
      <w:r>
        <w:rPr>
          <w:rFonts w:ascii="Arial" w:hAnsi="Arial"/>
          <w:sz w:val="21"/>
        </w:rPr>
        <w:t>改善供给</w:t>
      </w:r>
      <w:r>
        <w:rPr>
          <w:rFonts w:hint="eastAsia" w:ascii="Arial" w:hAnsi="Arial"/>
          <w:sz w:val="21"/>
        </w:rPr>
        <w:t>两方面，</w:t>
      </w:r>
      <w:r>
        <w:rPr>
          <w:rFonts w:ascii="Arial" w:hAnsi="Arial"/>
          <w:sz w:val="21"/>
        </w:rPr>
        <w:t>持续用力推动房地产市场止跌回稳</w:t>
      </w:r>
      <w:r>
        <w:rPr>
          <w:rFonts w:hint="eastAsia" w:ascii="Arial" w:hAnsi="Arial"/>
          <w:sz w:val="21"/>
        </w:rPr>
        <w:t>。二、从</w:t>
      </w:r>
      <w:r>
        <w:rPr>
          <w:rFonts w:ascii="Arial" w:hAnsi="Arial"/>
          <w:sz w:val="21"/>
        </w:rPr>
        <w:t>着力优化和完善住房供应体系</w:t>
      </w:r>
      <w:r>
        <w:rPr>
          <w:rFonts w:hint="eastAsia" w:ascii="Arial" w:hAnsi="Arial"/>
          <w:sz w:val="21"/>
        </w:rPr>
        <w:t>、</w:t>
      </w:r>
      <w:r>
        <w:rPr>
          <w:rFonts w:ascii="Arial" w:hAnsi="Arial"/>
          <w:sz w:val="21"/>
        </w:rPr>
        <w:t>推动建立要素联动新机制</w:t>
      </w:r>
      <w:r>
        <w:rPr>
          <w:rFonts w:hint="eastAsia" w:ascii="Arial" w:hAnsi="Arial"/>
          <w:sz w:val="21"/>
        </w:rPr>
        <w:t>、</w:t>
      </w:r>
      <w:r>
        <w:rPr>
          <w:rFonts w:ascii="Arial" w:hAnsi="Arial"/>
          <w:sz w:val="21"/>
        </w:rPr>
        <w:t>大力推进商品住房销售制度改革</w:t>
      </w:r>
      <w:r>
        <w:rPr>
          <w:rFonts w:hint="eastAsia" w:ascii="Arial" w:hAnsi="Arial"/>
          <w:sz w:val="21"/>
        </w:rPr>
        <w:t>、</w:t>
      </w:r>
      <w:r>
        <w:rPr>
          <w:rFonts w:ascii="Arial" w:hAnsi="Arial"/>
          <w:sz w:val="21"/>
        </w:rPr>
        <w:t>加快建立房屋全生命周期安全管理制度</w:t>
      </w:r>
      <w:r>
        <w:rPr>
          <w:rFonts w:hint="eastAsia" w:ascii="Arial" w:hAnsi="Arial"/>
          <w:sz w:val="21"/>
        </w:rPr>
        <w:t>和</w:t>
      </w:r>
      <w:r>
        <w:rPr>
          <w:rFonts w:ascii="Arial" w:hAnsi="Arial"/>
          <w:sz w:val="21"/>
        </w:rPr>
        <w:t>完善房地产全过程监管</w:t>
      </w:r>
      <w:r>
        <w:rPr>
          <w:rFonts w:hint="eastAsia" w:ascii="Arial" w:hAnsi="Arial"/>
          <w:sz w:val="21"/>
        </w:rPr>
        <w:t>五个方面，</w:t>
      </w:r>
      <w:r>
        <w:rPr>
          <w:rFonts w:ascii="Arial" w:hAnsi="Arial"/>
          <w:sz w:val="21"/>
        </w:rPr>
        <w:t>推动构建房地产发展新模式</w:t>
      </w:r>
      <w:r>
        <w:rPr>
          <w:rFonts w:hint="eastAsia" w:ascii="Arial" w:hAnsi="Arial"/>
          <w:sz w:val="21"/>
        </w:rPr>
        <w:t>。三、从</w:t>
      </w:r>
      <w:r>
        <w:rPr>
          <w:rFonts w:ascii="Arial" w:hAnsi="Arial"/>
          <w:sz w:val="21"/>
        </w:rPr>
        <w:t>建立城市体检和城市更新一体化推进机制</w:t>
      </w:r>
      <w:r>
        <w:rPr>
          <w:rFonts w:hint="eastAsia" w:ascii="Arial" w:hAnsi="Arial"/>
          <w:sz w:val="21"/>
        </w:rPr>
        <w:t>、</w:t>
      </w:r>
      <w:r>
        <w:rPr>
          <w:rFonts w:ascii="Arial" w:hAnsi="Arial"/>
          <w:sz w:val="21"/>
        </w:rPr>
        <w:t>建立可持续的城市更新模式和政策法规</w:t>
      </w:r>
      <w:r>
        <w:rPr>
          <w:rFonts w:hint="eastAsia" w:ascii="Arial" w:hAnsi="Arial"/>
          <w:sz w:val="21"/>
        </w:rPr>
        <w:t>、</w:t>
      </w:r>
      <w:r>
        <w:rPr>
          <w:rFonts w:ascii="Arial" w:hAnsi="Arial"/>
          <w:sz w:val="21"/>
        </w:rPr>
        <w:t>谋划实施一批城市更新改造项目</w:t>
      </w:r>
      <w:r>
        <w:rPr>
          <w:rFonts w:hint="eastAsia" w:ascii="Arial" w:hAnsi="Arial"/>
          <w:sz w:val="21"/>
        </w:rPr>
        <w:t>、</w:t>
      </w:r>
      <w:r>
        <w:rPr>
          <w:rFonts w:ascii="Arial" w:hAnsi="Arial"/>
          <w:sz w:val="21"/>
        </w:rPr>
        <w:t>构建城市管理新模式</w:t>
      </w:r>
      <w:r>
        <w:rPr>
          <w:rFonts w:hint="eastAsia" w:ascii="Arial" w:hAnsi="Arial"/>
          <w:sz w:val="21"/>
        </w:rPr>
        <w:t>和</w:t>
      </w:r>
      <w:r>
        <w:rPr>
          <w:rFonts w:ascii="Arial" w:hAnsi="Arial"/>
          <w:sz w:val="21"/>
        </w:rPr>
        <w:t>以“新城建”为引擎打造高水平“数字住建”</w:t>
      </w:r>
      <w:r>
        <w:rPr>
          <w:rFonts w:hint="eastAsia" w:ascii="Arial" w:hAnsi="Arial"/>
          <w:sz w:val="21"/>
        </w:rPr>
        <w:t>五个方面，</w:t>
      </w:r>
      <w:r>
        <w:rPr>
          <w:rFonts w:ascii="Arial" w:hAnsi="Arial"/>
          <w:sz w:val="21"/>
        </w:rPr>
        <w:t>大力实施城市更新</w:t>
      </w:r>
      <w:r>
        <w:rPr>
          <w:rFonts w:hint="eastAsia" w:ascii="Arial" w:hAnsi="Arial"/>
          <w:sz w:val="21"/>
        </w:rPr>
        <w:t>。四、从</w:t>
      </w:r>
      <w:r>
        <w:rPr>
          <w:rFonts w:ascii="Arial" w:hAnsi="Arial"/>
          <w:sz w:val="21"/>
        </w:rPr>
        <w:t>全面深化建筑业改革</w:t>
      </w:r>
      <w:r>
        <w:rPr>
          <w:rFonts w:hint="eastAsia" w:ascii="Arial" w:hAnsi="Arial"/>
          <w:sz w:val="21"/>
        </w:rPr>
        <w:t>、</w:t>
      </w:r>
      <w:r>
        <w:rPr>
          <w:rFonts w:ascii="Arial" w:hAnsi="Arial"/>
          <w:sz w:val="21"/>
        </w:rPr>
        <w:t>以更高质量的制度供给激发活力</w:t>
      </w:r>
      <w:r>
        <w:rPr>
          <w:rFonts w:hint="eastAsia" w:ascii="Arial" w:hAnsi="Arial"/>
          <w:sz w:val="21"/>
        </w:rPr>
        <w:t>、</w:t>
      </w:r>
      <w:r>
        <w:rPr>
          <w:rFonts w:ascii="Arial" w:hAnsi="Arial"/>
          <w:sz w:val="21"/>
        </w:rPr>
        <w:t>整体提升工程建设标准</w:t>
      </w:r>
      <w:r>
        <w:rPr>
          <w:rFonts w:hint="eastAsia" w:ascii="Arial" w:hAnsi="Arial"/>
          <w:sz w:val="21"/>
        </w:rPr>
        <w:t>、</w:t>
      </w:r>
      <w:r>
        <w:rPr>
          <w:rFonts w:ascii="Arial" w:hAnsi="Arial"/>
          <w:sz w:val="21"/>
        </w:rPr>
        <w:t>支持打造形成现代化建筑产业链</w:t>
      </w:r>
      <w:r>
        <w:rPr>
          <w:rFonts w:hint="eastAsia" w:ascii="Arial" w:hAnsi="Arial"/>
          <w:sz w:val="21"/>
        </w:rPr>
        <w:t>和</w:t>
      </w:r>
      <w:r>
        <w:rPr>
          <w:rFonts w:ascii="Arial" w:hAnsi="Arial"/>
          <w:sz w:val="21"/>
        </w:rPr>
        <w:t>把绿色建筑培育发展成新的经济增长点</w:t>
      </w:r>
      <w:r>
        <w:rPr>
          <w:rFonts w:hint="eastAsia" w:ascii="Arial" w:hAnsi="Arial"/>
          <w:sz w:val="21"/>
        </w:rPr>
        <w:t>五个方面，</w:t>
      </w:r>
      <w:r>
        <w:rPr>
          <w:rFonts w:ascii="Arial" w:hAnsi="Arial"/>
          <w:sz w:val="21"/>
        </w:rPr>
        <w:t>打造“中国建造”升级版</w:t>
      </w:r>
      <w:r>
        <w:rPr>
          <w:rFonts w:hint="eastAsia" w:ascii="Arial" w:hAnsi="Arial"/>
          <w:sz w:val="21"/>
        </w:rPr>
        <w:t>。五、从</w:t>
      </w:r>
      <w:r>
        <w:rPr>
          <w:rFonts w:ascii="Arial" w:hAnsi="Arial"/>
          <w:sz w:val="21"/>
        </w:rPr>
        <w:t>提高住宅建设标准</w:t>
      </w:r>
      <w:r>
        <w:rPr>
          <w:rFonts w:hint="eastAsia" w:ascii="Arial" w:hAnsi="Arial"/>
          <w:sz w:val="21"/>
        </w:rPr>
        <w:t>、</w:t>
      </w:r>
      <w:r>
        <w:rPr>
          <w:rFonts w:ascii="Arial" w:hAnsi="Arial"/>
          <w:sz w:val="21"/>
        </w:rPr>
        <w:t>构建支持住房品质提升的制度体系</w:t>
      </w:r>
      <w:r>
        <w:rPr>
          <w:rFonts w:hint="eastAsia" w:ascii="Arial" w:hAnsi="Arial"/>
          <w:sz w:val="21"/>
        </w:rPr>
        <w:t>、</w:t>
      </w:r>
      <w:r>
        <w:rPr>
          <w:rFonts w:ascii="Arial" w:hAnsi="Arial"/>
          <w:sz w:val="21"/>
        </w:rPr>
        <w:t>支持房企打造好房子样板</w:t>
      </w:r>
      <w:r>
        <w:rPr>
          <w:rFonts w:hint="eastAsia" w:ascii="Arial" w:hAnsi="Arial"/>
          <w:sz w:val="21"/>
        </w:rPr>
        <w:t>、</w:t>
      </w:r>
      <w:r>
        <w:rPr>
          <w:rFonts w:ascii="Arial" w:hAnsi="Arial"/>
          <w:sz w:val="21"/>
        </w:rPr>
        <w:t>推进老旧住宅更新改造</w:t>
      </w:r>
      <w:r>
        <w:rPr>
          <w:rFonts w:hint="eastAsia" w:ascii="Arial" w:hAnsi="Arial"/>
          <w:sz w:val="21"/>
        </w:rPr>
        <w:t>和</w:t>
      </w:r>
      <w:r>
        <w:rPr>
          <w:rFonts w:ascii="Arial" w:hAnsi="Arial"/>
          <w:sz w:val="21"/>
        </w:rPr>
        <w:t>大力实施物业服务质量提升行动</w:t>
      </w:r>
      <w:r>
        <w:rPr>
          <w:rFonts w:hint="eastAsia" w:ascii="Arial" w:hAnsi="Arial"/>
          <w:sz w:val="21"/>
        </w:rPr>
        <w:t>五个方面，</w:t>
      </w:r>
      <w:r>
        <w:rPr>
          <w:rFonts w:ascii="Arial" w:hAnsi="Arial"/>
          <w:sz w:val="21"/>
        </w:rPr>
        <w:t>建设安全、舒适、绿色、智慧的好房子</w:t>
      </w:r>
      <w:r>
        <w:rPr>
          <w:rFonts w:hint="eastAsia" w:ascii="Arial" w:hAnsi="Arial"/>
          <w:sz w:val="21"/>
        </w:rPr>
        <w:t>。</w:t>
      </w:r>
    </w:p>
    <w:p w14:paraId="12CC286F">
      <w:pPr>
        <w:overflowPunct w:val="0"/>
        <w:spacing w:line="480" w:lineRule="auto"/>
        <w:ind w:firstLine="420"/>
        <w:jc w:val="both"/>
        <w:textAlignment w:val="auto"/>
        <w:rPr>
          <w:rFonts w:ascii="Arial" w:hAnsi="Arial"/>
          <w:sz w:val="21"/>
        </w:rPr>
      </w:pPr>
      <w:r>
        <w:rPr>
          <w:rFonts w:ascii="Arial" w:hAnsi="Arial"/>
          <w:sz w:val="21"/>
        </w:rPr>
        <w:t>202</w:t>
      </w:r>
      <w:r>
        <w:rPr>
          <w:rFonts w:hint="eastAsia" w:ascii="Arial" w:hAnsi="Arial"/>
          <w:sz w:val="21"/>
        </w:rPr>
        <w:t>5</w:t>
      </w:r>
      <w:r>
        <w:rPr>
          <w:rFonts w:ascii="Arial" w:hAnsi="Arial"/>
          <w:sz w:val="21"/>
        </w:rPr>
        <w:t>年3月</w:t>
      </w:r>
      <w:r>
        <w:rPr>
          <w:rFonts w:hint="eastAsia" w:ascii="Arial" w:hAnsi="Arial"/>
          <w:sz w:val="21"/>
        </w:rPr>
        <w:t>5</w:t>
      </w:r>
      <w:r>
        <w:rPr>
          <w:rFonts w:ascii="Arial" w:hAnsi="Arial"/>
          <w:sz w:val="21"/>
        </w:rPr>
        <w:t>日全国两会召开。关于房地产的定调，政府工作报告延续了去年底中央经济工作会议基调，</w:t>
      </w:r>
      <w:r>
        <w:rPr>
          <w:rFonts w:hint="eastAsia" w:ascii="Arial" w:hAnsi="Arial"/>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41EA75BA">
      <w:pPr>
        <w:overflowPunct w:val="0"/>
        <w:spacing w:line="480" w:lineRule="auto"/>
        <w:ind w:firstLine="420"/>
        <w:jc w:val="both"/>
        <w:textAlignment w:val="auto"/>
        <w:rPr>
          <w:rFonts w:ascii="Arial" w:hAnsi="Arial"/>
          <w:sz w:val="21"/>
        </w:rPr>
      </w:pPr>
      <w:r>
        <w:rPr>
          <w:rFonts w:hint="eastAsia" w:ascii="Arial" w:hAnsi="Arial"/>
          <w:sz w:val="21"/>
        </w:rPr>
        <w:t>2025年4月3日，</w:t>
      </w:r>
      <w:r>
        <w:rPr>
          <w:rFonts w:ascii="Arial" w:hAnsi="Arial"/>
          <w:sz w:val="21"/>
        </w:rPr>
        <w:t>财政部办公厅</w:t>
      </w:r>
      <w:r>
        <w:rPr>
          <w:rFonts w:hint="eastAsia" w:ascii="Arial" w:hAnsi="Arial"/>
          <w:sz w:val="21"/>
        </w:rPr>
        <w:t>、</w:t>
      </w:r>
      <w:r>
        <w:rPr>
          <w:rFonts w:ascii="Arial" w:hAnsi="Arial"/>
          <w:sz w:val="21"/>
        </w:rPr>
        <w:t>住房城乡建设部办公厅</w:t>
      </w:r>
      <w:r>
        <w:rPr>
          <w:rFonts w:hint="eastAsia" w:ascii="Arial" w:hAnsi="Arial"/>
          <w:sz w:val="21"/>
        </w:rPr>
        <w:t>联合发布</w:t>
      </w:r>
      <w:r>
        <w:rPr>
          <w:rFonts w:ascii="Arial" w:hAnsi="Arial"/>
          <w:sz w:val="21"/>
        </w:rPr>
        <w:t>《关于开展2025年度中央财政支持实施城市更新行动的通知》</w:t>
      </w:r>
      <w:r>
        <w:rPr>
          <w:rFonts w:hint="eastAsia" w:ascii="Arial" w:hAnsi="Arial"/>
          <w:sz w:val="21"/>
        </w:rPr>
        <w:t>。《通知》提出</w:t>
      </w:r>
      <w:r>
        <w:rPr>
          <w:rFonts w:ascii="Arial" w:hAnsi="Arial"/>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sz w:val="21"/>
        </w:rPr>
        <w:t>。</w:t>
      </w:r>
    </w:p>
    <w:p w14:paraId="047A9A4F">
      <w:pPr>
        <w:overflowPunct w:val="0"/>
        <w:spacing w:line="480" w:lineRule="auto"/>
        <w:ind w:firstLine="420"/>
        <w:jc w:val="both"/>
        <w:textAlignment w:val="auto"/>
        <w:rPr>
          <w:rFonts w:ascii="Arial" w:hAnsi="Arial"/>
          <w:sz w:val="21"/>
        </w:rPr>
      </w:pPr>
      <w:r>
        <w:rPr>
          <w:rFonts w:hint="eastAsia" w:ascii="Arial" w:hAnsi="Arial"/>
          <w:sz w:val="21"/>
        </w:rPr>
        <w:t>2025年4月25日</w:t>
      </w:r>
      <w:r>
        <w:rPr>
          <w:rFonts w:ascii="Arial" w:hAnsi="Arial"/>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1C6CB203">
      <w:pPr>
        <w:overflowPunct w:val="0"/>
        <w:spacing w:line="480" w:lineRule="auto"/>
        <w:ind w:firstLine="420"/>
        <w:jc w:val="both"/>
        <w:textAlignment w:val="auto"/>
        <w:rPr>
          <w:rFonts w:ascii="Arial" w:hAnsi="Arial"/>
          <w:sz w:val="21"/>
        </w:rPr>
      </w:pPr>
      <w:r>
        <w:rPr>
          <w:rFonts w:hint="eastAsia" w:ascii="Arial" w:hAnsi="Arial"/>
          <w:sz w:val="21"/>
        </w:rPr>
        <w:t>2025年5月15日，中共中央办公厅与国务院办公厅公开发布《关于持续推进城市更新行动的意见》。《意见》</w:t>
      </w:r>
      <w:r>
        <w:rPr>
          <w:rFonts w:ascii="Arial" w:hAnsi="Arial"/>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E31191C">
      <w:pPr>
        <w:overflowPunct w:val="0"/>
        <w:spacing w:line="480" w:lineRule="auto"/>
        <w:ind w:firstLine="420"/>
        <w:jc w:val="both"/>
        <w:textAlignment w:val="auto"/>
        <w:rPr>
          <w:rFonts w:ascii="Arial" w:hAnsi="Arial"/>
          <w:sz w:val="21"/>
        </w:rPr>
      </w:pPr>
      <w:r>
        <w:rPr>
          <w:rFonts w:hint="eastAsia" w:ascii="Arial" w:hAnsi="Arial"/>
          <w:sz w:val="21"/>
        </w:rPr>
        <w:t>2025年6月13日</w:t>
      </w:r>
      <w:r>
        <w:rPr>
          <w:rFonts w:ascii="Arial" w:hAnsi="Arial"/>
          <w:sz w:val="21"/>
        </w:rPr>
        <w:t>国务院常务会议召开，其中重点部署了房地产相关政策，核心目标是</w:t>
      </w:r>
      <w:r>
        <w:rPr>
          <w:rFonts w:hint="eastAsia" w:ascii="Arial" w:hAnsi="Arial"/>
          <w:sz w:val="21"/>
        </w:rPr>
        <w:t>“</w:t>
      </w:r>
      <w:r>
        <w:rPr>
          <w:rFonts w:ascii="Arial" w:hAnsi="Arial"/>
          <w:sz w:val="21"/>
        </w:rPr>
        <w:t>更大力度推动房地产市场止跌回稳</w:t>
      </w:r>
      <w:r>
        <w:rPr>
          <w:rFonts w:hint="eastAsia" w:ascii="Arial" w:hAnsi="Arial"/>
          <w:sz w:val="21"/>
        </w:rPr>
        <w:t>”</w:t>
      </w:r>
      <w:r>
        <w:rPr>
          <w:rFonts w:ascii="Arial" w:hAnsi="Arial"/>
          <w:sz w:val="21"/>
        </w:rPr>
        <w:t>，并围绕构建房地产发展新模式、推进</w:t>
      </w:r>
      <w:r>
        <w:rPr>
          <w:rFonts w:hint="eastAsia" w:ascii="Arial" w:hAnsi="Arial"/>
          <w:sz w:val="21"/>
        </w:rPr>
        <w:t>“好房子”</w:t>
      </w:r>
      <w:r>
        <w:rPr>
          <w:rFonts w:ascii="Arial" w:hAnsi="Arial"/>
          <w:sz w:val="21"/>
        </w:rPr>
        <w:t>建设、盘活存量资源等方面提出具体措施。</w:t>
      </w:r>
    </w:p>
    <w:p w14:paraId="11BD8DBA">
      <w:pPr>
        <w:overflowPunct w:val="0"/>
        <w:spacing w:line="480" w:lineRule="auto"/>
        <w:ind w:firstLine="420"/>
        <w:jc w:val="both"/>
        <w:textAlignment w:val="auto"/>
        <w:rPr>
          <w:rFonts w:ascii="Arial" w:hAnsi="Arial"/>
          <w:sz w:val="21"/>
        </w:rPr>
      </w:pPr>
      <w:r>
        <w:rPr>
          <w:rFonts w:hint="eastAsia" w:ascii="Arial" w:hAnsi="Arial"/>
          <w:sz w:val="21"/>
        </w:rPr>
        <w:t>2025年7月1</w:t>
      </w:r>
      <w:r>
        <w:rPr>
          <w:rFonts w:ascii="Arial" w:hAnsi="Arial"/>
          <w:sz w:val="21"/>
        </w:rPr>
        <w:t>4日至</w:t>
      </w:r>
      <w:r>
        <w:rPr>
          <w:rFonts w:hint="eastAsia" w:ascii="Arial" w:hAnsi="Arial"/>
          <w:sz w:val="21"/>
        </w:rPr>
        <w:t>1</w:t>
      </w:r>
      <w:r>
        <w:rPr>
          <w:rFonts w:ascii="Arial" w:hAnsi="Arial"/>
          <w:sz w:val="21"/>
        </w:rPr>
        <w:t>5日</w:t>
      </w:r>
      <w:bookmarkStart w:id="64" w:name="OLE_LINK7"/>
      <w:r>
        <w:rPr>
          <w:rFonts w:ascii="Arial" w:hAnsi="Arial"/>
          <w:sz w:val="21"/>
        </w:rPr>
        <w:t>中央城市工作会议</w:t>
      </w:r>
      <w:bookmarkEnd w:id="64"/>
      <w:r>
        <w:rPr>
          <w:rFonts w:ascii="Arial" w:hAnsi="Arial"/>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sz w:val="21"/>
        </w:rPr>
        <w:t>。</w:t>
      </w:r>
    </w:p>
    <w:p w14:paraId="16B716EB">
      <w:pPr>
        <w:overflowPunct w:val="0"/>
        <w:spacing w:line="480" w:lineRule="auto"/>
        <w:ind w:firstLine="420"/>
        <w:jc w:val="both"/>
        <w:textAlignment w:val="auto"/>
        <w:rPr>
          <w:rFonts w:ascii="Arial" w:hAnsi="Arial"/>
          <w:sz w:val="21"/>
        </w:rPr>
      </w:pPr>
      <w:r>
        <w:rPr>
          <w:rFonts w:hint="eastAsia" w:ascii="Arial" w:hAnsi="Arial"/>
          <w:sz w:val="21"/>
        </w:rPr>
        <w:t>2025年7月16日，国务院公布《住房租赁条例》</w:t>
      </w:r>
      <w:r>
        <w:rPr>
          <w:rFonts w:ascii="Arial" w:hAnsi="Arial"/>
          <w:sz w:val="21"/>
        </w:rPr>
        <w:t>。该条例旨在规范住房租赁活动，维护住房租赁活动当事人合法权益，稳定住房租赁关系，促进住房租赁市场高质量发展，推动加快建立租购并举的住房制度</w:t>
      </w:r>
      <w:r>
        <w:rPr>
          <w:rFonts w:hint="eastAsia" w:ascii="Arial" w:hAnsi="Arial"/>
          <w:sz w:val="21"/>
        </w:rPr>
        <w:t>，《条例》</w:t>
      </w:r>
      <w:r>
        <w:rPr>
          <w:rFonts w:ascii="Arial" w:hAnsi="Arial"/>
          <w:sz w:val="21"/>
        </w:rPr>
        <w:t>自2025年9月15日施行。</w:t>
      </w:r>
    </w:p>
    <w:p w14:paraId="6B2706E6">
      <w:pPr>
        <w:overflowPunct w:val="0"/>
        <w:spacing w:line="480" w:lineRule="auto"/>
        <w:ind w:firstLine="420"/>
        <w:jc w:val="both"/>
        <w:textAlignment w:val="auto"/>
        <w:rPr>
          <w:rFonts w:ascii="Arial" w:hAnsi="Arial"/>
          <w:b/>
          <w:sz w:val="21"/>
        </w:rPr>
      </w:pPr>
      <w:r>
        <w:rPr>
          <w:rFonts w:hint="eastAsia" w:ascii="Arial" w:hAnsi="Arial"/>
          <w:b/>
          <w:sz w:val="21"/>
        </w:rPr>
        <w:t>北京：</w:t>
      </w:r>
    </w:p>
    <w:p w14:paraId="774A5C06">
      <w:pPr>
        <w:overflowPunct w:val="0"/>
        <w:spacing w:line="480" w:lineRule="auto"/>
        <w:ind w:firstLine="420"/>
        <w:jc w:val="both"/>
        <w:textAlignment w:val="auto"/>
        <w:rPr>
          <w:rFonts w:ascii="Arial" w:hAnsi="Arial"/>
          <w:sz w:val="21"/>
        </w:rPr>
      </w:pPr>
      <w:r>
        <w:rPr>
          <w:rFonts w:ascii="Arial" w:hAnsi="Arial"/>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sz w:val="21"/>
        </w:rPr>
        <w:t>。</w:t>
      </w:r>
    </w:p>
    <w:p w14:paraId="266A499D">
      <w:pPr>
        <w:overflowPunct w:val="0"/>
        <w:spacing w:line="480" w:lineRule="auto"/>
        <w:ind w:firstLine="420"/>
        <w:jc w:val="both"/>
        <w:textAlignment w:val="auto"/>
        <w:rPr>
          <w:rFonts w:ascii="Arial" w:hAnsi="Arial"/>
          <w:sz w:val="21"/>
        </w:rPr>
      </w:pPr>
      <w:r>
        <w:rPr>
          <w:rFonts w:ascii="Arial" w:hAnsi="Arial"/>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sz w:val="21"/>
        </w:rPr>
        <w:t>。</w:t>
      </w:r>
    </w:p>
    <w:p w14:paraId="53199376">
      <w:pPr>
        <w:overflowPunct w:val="0"/>
        <w:spacing w:line="480" w:lineRule="auto"/>
        <w:ind w:firstLine="420"/>
        <w:jc w:val="both"/>
        <w:textAlignment w:val="auto"/>
        <w:rPr>
          <w:rFonts w:ascii="Arial" w:hAnsi="Arial"/>
          <w:sz w:val="21"/>
        </w:rPr>
      </w:pPr>
      <w:r>
        <w:rPr>
          <w:rFonts w:hint="eastAsia" w:ascii="Arial" w:hAnsi="Arial"/>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11ACF3DF">
      <w:pPr>
        <w:overflowPunct w:val="0"/>
        <w:spacing w:line="480" w:lineRule="auto"/>
        <w:ind w:firstLine="420"/>
        <w:jc w:val="both"/>
        <w:textAlignment w:val="auto"/>
        <w:rPr>
          <w:rFonts w:ascii="Arial" w:hAnsi="Arial"/>
          <w:sz w:val="21"/>
        </w:rPr>
      </w:pPr>
      <w:r>
        <w:rPr>
          <w:rFonts w:hint="eastAsia" w:ascii="Arial" w:hAnsi="Arial"/>
          <w:sz w:val="21"/>
        </w:rPr>
        <w:t>2025年2月12日，</w:t>
      </w:r>
      <w:r>
        <w:rPr>
          <w:rFonts w:ascii="Arial" w:hAnsi="Arial"/>
          <w:sz w:val="21"/>
        </w:rPr>
        <w:t>北京市规划和自然资源委员会发布</w:t>
      </w:r>
      <w:r>
        <w:rPr>
          <w:rFonts w:hint="eastAsia" w:ascii="Arial" w:hAnsi="Arial"/>
          <w:sz w:val="21"/>
        </w:rPr>
        <w:t>《关于印发〈北京市平原多点地区“好房子”规划管理相关技术要点（试行）〉的通知》，</w:t>
      </w:r>
      <w:r>
        <w:rPr>
          <w:rFonts w:ascii="Arial" w:hAnsi="Arial"/>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sz w:val="21"/>
        </w:rPr>
        <w:t>。</w:t>
      </w:r>
    </w:p>
    <w:p w14:paraId="6A8CB7F6">
      <w:pPr>
        <w:overflowPunct w:val="0"/>
        <w:spacing w:line="480" w:lineRule="auto"/>
        <w:ind w:firstLine="420"/>
        <w:jc w:val="both"/>
        <w:textAlignment w:val="auto"/>
        <w:rPr>
          <w:rFonts w:ascii="Arial" w:hAnsi="Arial"/>
          <w:sz w:val="21"/>
        </w:rPr>
      </w:pPr>
      <w:r>
        <w:rPr>
          <w:rFonts w:hint="eastAsia" w:ascii="Arial" w:hAnsi="Arial"/>
          <w:sz w:val="21"/>
        </w:rPr>
        <w:t>2025年</w:t>
      </w:r>
      <w:r>
        <w:rPr>
          <w:rFonts w:ascii="Arial" w:hAnsi="Arial"/>
          <w:sz w:val="21"/>
        </w:rPr>
        <w:t>5月9日，北京市住房和城乡建设委员会</w:t>
      </w:r>
      <w:r>
        <w:rPr>
          <w:rFonts w:hint="eastAsia" w:ascii="Arial" w:hAnsi="Arial"/>
          <w:sz w:val="21"/>
        </w:rPr>
        <w:t>发布</w:t>
      </w:r>
      <w:r>
        <w:rPr>
          <w:rFonts w:ascii="Arial" w:hAnsi="Arial"/>
          <w:sz w:val="21"/>
        </w:rPr>
        <w:t>《关于印发</w:t>
      </w:r>
      <w:r>
        <w:rPr>
          <w:rFonts w:hint="eastAsia" w:ascii="Arial" w:hAnsi="Arial"/>
          <w:sz w:val="21"/>
        </w:rPr>
        <w:t>〈</w:t>
      </w:r>
      <w:r>
        <w:rPr>
          <w:rFonts w:ascii="Arial" w:hAnsi="Arial"/>
          <w:sz w:val="21"/>
        </w:rPr>
        <w:t>2025年北京市住房发展年度计划</w:t>
      </w:r>
      <w:r>
        <w:rPr>
          <w:rFonts w:hint="eastAsia" w:ascii="Arial" w:hAnsi="Arial"/>
          <w:sz w:val="21"/>
        </w:rPr>
        <w:t>〉</w:t>
      </w:r>
      <w:r>
        <w:rPr>
          <w:rFonts w:ascii="Arial" w:hAnsi="Arial"/>
          <w:sz w:val="21"/>
        </w:rPr>
        <w:t>的通知》</w:t>
      </w:r>
      <w:r>
        <w:rPr>
          <w:rFonts w:hint="eastAsia" w:ascii="Arial" w:hAnsi="Arial"/>
          <w:sz w:val="21"/>
        </w:rPr>
        <w:t>。《通知》</w:t>
      </w:r>
      <w:r>
        <w:rPr>
          <w:rFonts w:ascii="Arial" w:hAnsi="Arial"/>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2E7F93A">
      <w:pPr>
        <w:overflowPunct w:val="0"/>
        <w:spacing w:line="480" w:lineRule="auto"/>
        <w:ind w:firstLine="420"/>
        <w:jc w:val="both"/>
        <w:textAlignment w:val="auto"/>
        <w:rPr>
          <w:rFonts w:ascii="Arial" w:hAnsi="Arial"/>
          <w:sz w:val="21"/>
        </w:rPr>
      </w:pPr>
      <w:r>
        <w:rPr>
          <w:rFonts w:hint="eastAsia" w:ascii="Arial" w:hAnsi="Arial"/>
          <w:sz w:val="21"/>
        </w:rPr>
        <w:t>2025年7月10日，北京市人民政府发布</w:t>
      </w:r>
      <w:r>
        <w:rPr>
          <w:rFonts w:ascii="Arial" w:hAnsi="Arial"/>
          <w:sz w:val="21"/>
        </w:rPr>
        <w:t>《关于印发</w:t>
      </w:r>
      <w:r>
        <w:rPr>
          <w:rFonts w:hint="eastAsia" w:ascii="Arial" w:hAnsi="Arial"/>
          <w:sz w:val="21"/>
        </w:rPr>
        <w:t>〈北京市深化改革提振消费专项行动方案〉</w:t>
      </w:r>
      <w:r>
        <w:rPr>
          <w:rFonts w:ascii="Arial" w:hAnsi="Arial"/>
          <w:sz w:val="21"/>
        </w:rPr>
        <w:t>的通知》，提出共计24项具体方案。其中，</w:t>
      </w:r>
      <w:r>
        <w:rPr>
          <w:rFonts w:hint="eastAsia" w:ascii="Arial" w:hAnsi="Arial"/>
          <w:sz w:val="21"/>
        </w:rPr>
        <w:t>第14项“</w:t>
      </w:r>
      <w:r>
        <w:rPr>
          <w:rFonts w:ascii="Arial" w:hAnsi="Arial"/>
          <w:sz w:val="21"/>
        </w:rPr>
        <w:t>优化住房消费新供给</w:t>
      </w:r>
      <w:r>
        <w:rPr>
          <w:rFonts w:hint="eastAsia" w:ascii="Arial" w:hAnsi="Arial"/>
          <w:sz w:val="21"/>
        </w:rPr>
        <w:t>”</w:t>
      </w:r>
      <w:r>
        <w:rPr>
          <w:rFonts w:ascii="Arial" w:hAnsi="Arial"/>
          <w:sz w:val="21"/>
        </w:rPr>
        <w:t>：优先向轨道交通站点和就业密集地区 供应住宅用地，完善</w:t>
      </w:r>
      <w:r>
        <w:rPr>
          <w:rFonts w:hint="eastAsia" w:ascii="Arial" w:hAnsi="Arial"/>
          <w:sz w:val="21"/>
        </w:rPr>
        <w:t>“</w:t>
      </w:r>
      <w:r>
        <w:rPr>
          <w:rFonts w:ascii="Arial" w:hAnsi="Arial"/>
          <w:sz w:val="21"/>
        </w:rPr>
        <w:t>保障+市场</w:t>
      </w:r>
      <w:r>
        <w:rPr>
          <w:rFonts w:hint="eastAsia" w:ascii="Arial" w:hAnsi="Arial"/>
          <w:sz w:val="21"/>
        </w:rPr>
        <w:t>”</w:t>
      </w:r>
      <w:r>
        <w:rPr>
          <w:rFonts w:ascii="Arial" w:hAnsi="Arial"/>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sz w:val="21"/>
        </w:rPr>
        <w:t>“</w:t>
      </w:r>
      <w:r>
        <w:rPr>
          <w:rFonts w:ascii="Arial" w:hAnsi="Arial"/>
          <w:sz w:val="21"/>
        </w:rPr>
        <w:t>带押过户</w:t>
      </w:r>
      <w:r>
        <w:rPr>
          <w:rFonts w:hint="eastAsia" w:ascii="Arial" w:hAnsi="Arial"/>
          <w:sz w:val="21"/>
        </w:rPr>
        <w:t>”</w:t>
      </w:r>
      <w:r>
        <w:rPr>
          <w:rFonts w:ascii="Arial" w:hAnsi="Arial"/>
          <w:sz w:val="21"/>
        </w:rPr>
        <w:t>政策，并开展相关业务。</w:t>
      </w:r>
    </w:p>
    <w:p w14:paraId="46EEFF90">
      <w:pPr>
        <w:overflowPunct w:val="0"/>
        <w:spacing w:line="480" w:lineRule="auto"/>
        <w:ind w:firstLine="420"/>
        <w:jc w:val="both"/>
        <w:textAlignment w:val="auto"/>
        <w:rPr>
          <w:rFonts w:ascii="Arial" w:hAnsi="Arial"/>
          <w:sz w:val="21"/>
        </w:rPr>
      </w:pPr>
      <w:r>
        <w:rPr>
          <w:rFonts w:hint="eastAsia" w:ascii="Arial" w:hAnsi="Arial"/>
          <w:sz w:val="21"/>
        </w:rPr>
        <w:t>2025年8月8日，</w:t>
      </w:r>
      <w:r>
        <w:rPr>
          <w:rFonts w:ascii="Arial" w:hAnsi="Arial"/>
          <w:sz w:val="21"/>
        </w:rPr>
        <w:t>北京市住房和城乡建设委员会、</w:t>
      </w:r>
      <w:r>
        <w:rPr>
          <w:rFonts w:hint="eastAsia" w:ascii="Arial" w:hAnsi="Arial"/>
          <w:sz w:val="21"/>
        </w:rPr>
        <w:t>北京住房公积金管理中心</w:t>
      </w:r>
      <w:r>
        <w:rPr>
          <w:rFonts w:ascii="Arial" w:hAnsi="Arial"/>
          <w:sz w:val="21"/>
        </w:rPr>
        <w:t>联合发布</w:t>
      </w:r>
      <w:r>
        <w:rPr>
          <w:rFonts w:hint="eastAsia" w:ascii="Arial" w:hAnsi="Arial"/>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62"/>
    <w:bookmarkEnd w:id="63"/>
    <w:p w14:paraId="22F03CA3">
      <w:pPr>
        <w:overflowPunct w:val="0"/>
        <w:spacing w:line="480" w:lineRule="auto"/>
        <w:ind w:firstLine="420"/>
        <w:jc w:val="both"/>
        <w:textAlignment w:val="auto"/>
        <w:rPr>
          <w:rFonts w:ascii="Arial" w:hAnsi="Arial"/>
          <w:sz w:val="21"/>
        </w:rPr>
      </w:pPr>
      <w:r>
        <w:rPr>
          <w:rFonts w:hint="eastAsia" w:ascii="Arial" w:hAnsi="Arial"/>
          <w:sz w:val="21"/>
        </w:rPr>
        <w:t>5.未来市场预期</w:t>
      </w:r>
    </w:p>
    <w:p w14:paraId="35794F25">
      <w:pPr>
        <w:overflowPunct w:val="0"/>
        <w:spacing w:line="480" w:lineRule="auto"/>
        <w:ind w:firstLine="420"/>
        <w:jc w:val="both"/>
        <w:textAlignment w:val="auto"/>
        <w:rPr>
          <w:rFonts w:ascii="Arial" w:hAnsi="Arial"/>
          <w:sz w:val="21"/>
        </w:rPr>
      </w:pPr>
      <w:r>
        <w:rPr>
          <w:rFonts w:ascii="Arial" w:hAnsi="Arial"/>
          <w:sz w:val="21"/>
        </w:rPr>
        <w:t>预计未来北京住宅市场将呈现</w:t>
      </w:r>
      <w:r>
        <w:rPr>
          <w:rFonts w:hint="eastAsia" w:ascii="Arial" w:hAnsi="Arial"/>
          <w:sz w:val="21"/>
        </w:rPr>
        <w:t>“</w:t>
      </w:r>
      <w:r>
        <w:rPr>
          <w:rFonts w:ascii="Arial" w:hAnsi="Arial"/>
          <w:sz w:val="21"/>
        </w:rPr>
        <w:t>政策持续优化、市场温和修复、结构分化加剧</w:t>
      </w:r>
      <w:r>
        <w:rPr>
          <w:rFonts w:hint="eastAsia" w:ascii="Arial" w:hAnsi="Arial"/>
          <w:sz w:val="21"/>
        </w:rPr>
        <w:t>”</w:t>
      </w:r>
      <w:r>
        <w:rPr>
          <w:rFonts w:ascii="Arial" w:hAnsi="Arial"/>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sz w:val="21"/>
        </w:rPr>
        <w:t>“</w:t>
      </w:r>
      <w:r>
        <w:rPr>
          <w:rFonts w:ascii="Arial" w:hAnsi="Arial"/>
          <w:sz w:val="21"/>
        </w:rPr>
        <w:t>好房子</w:t>
      </w:r>
      <w:r>
        <w:rPr>
          <w:rFonts w:hint="eastAsia" w:ascii="Arial" w:hAnsi="Arial"/>
          <w:sz w:val="21"/>
        </w:rPr>
        <w:t>”</w:t>
      </w:r>
      <w:r>
        <w:rPr>
          <w:rFonts w:ascii="Arial" w:hAnsi="Arial"/>
          <w:sz w:val="21"/>
        </w:rPr>
        <w:t>倾斜，中高面积段、中高总价产品占比提升，推动产品结构持续优化。整体来看，北京住宅市场正逐步进入</w:t>
      </w:r>
      <w:r>
        <w:rPr>
          <w:rFonts w:hint="eastAsia" w:ascii="Arial" w:hAnsi="Arial"/>
          <w:sz w:val="21"/>
        </w:rPr>
        <w:t>“</w:t>
      </w:r>
      <w:r>
        <w:rPr>
          <w:rFonts w:ascii="Arial" w:hAnsi="Arial"/>
          <w:sz w:val="21"/>
        </w:rPr>
        <w:t>量稳价稳、质升区异</w:t>
      </w:r>
      <w:r>
        <w:rPr>
          <w:rFonts w:hint="eastAsia" w:ascii="Arial" w:hAnsi="Arial"/>
          <w:sz w:val="21"/>
        </w:rPr>
        <w:t>”</w:t>
      </w:r>
      <w:r>
        <w:rPr>
          <w:rFonts w:ascii="Arial" w:hAnsi="Arial"/>
          <w:sz w:val="21"/>
        </w:rPr>
        <w:t>的新阶段</w:t>
      </w:r>
      <w:r>
        <w:rPr>
          <w:rFonts w:hint="eastAsia" w:ascii="Arial" w:hAnsi="Arial"/>
          <w:sz w:val="21"/>
        </w:rPr>
        <w:t>。</w:t>
      </w:r>
    </w:p>
    <w:p w14:paraId="26D505F9">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10C156D8">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04C9AF5D">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00F9FC8F">
      <w:pPr>
        <w:snapToGrid w:val="0"/>
        <w:spacing w:line="480" w:lineRule="auto"/>
        <w:ind w:firstLine="420" w:firstLineChars="200"/>
        <w:jc w:val="both"/>
        <w:rPr>
          <w:rFonts w:ascii="Arial" w:hAnsi="Arial"/>
          <w:bCs/>
          <w:sz w:val="21"/>
          <w:szCs w:val="28"/>
        </w:rPr>
      </w:pPr>
      <w:r>
        <w:rPr>
          <w:rFonts w:ascii="Arial" w:hAnsi="Arial"/>
          <w:bCs/>
          <w:sz w:val="21"/>
          <w:szCs w:val="28"/>
        </w:rPr>
        <w:t>2024年地区生产总值1334.8亿元，同比增长5.2%，</w:t>
      </w:r>
      <w:r>
        <w:rPr>
          <w:rFonts w:hint="eastAsia" w:ascii="Arial" w:hAnsi="Arial"/>
          <w:bCs/>
          <w:sz w:val="21"/>
          <w:szCs w:val="28"/>
        </w:rPr>
        <w:t>其中第一产业实现增加值16.6亿元，比上年增长2.3%；第二产业实现增加值374.0亿元，比上年增长3.1%；第三产业实现增加值944.2亿元，比上年增长6.3%。</w:t>
      </w:r>
    </w:p>
    <w:p w14:paraId="4D6DC20C">
      <w:pPr>
        <w:snapToGrid w:val="0"/>
        <w:spacing w:line="480" w:lineRule="auto"/>
        <w:ind w:firstLine="420" w:firstLineChars="200"/>
        <w:jc w:val="both"/>
        <w:rPr>
          <w:rFonts w:ascii="Arial" w:hAnsi="Arial"/>
          <w:bCs/>
          <w:sz w:val="21"/>
          <w:szCs w:val="28"/>
        </w:rPr>
      </w:pPr>
      <w:r>
        <w:rPr>
          <w:rFonts w:hint="eastAsia" w:ascii="Arial" w:hAnsi="Arial"/>
          <w:bCs/>
          <w:sz w:val="21"/>
          <w:szCs w:val="28"/>
        </w:rPr>
        <w:t>2024年，大兴区固定资产投资（不含农户）比上年下降13.4%，其中建筑安装工程投资比上年增长8.6%。分产业看，第二产业投资额比上年增长17.8%，占全区固定资产投资（不含农户）的比重为10.0%。其中制造业投资额比上年增长19.7%。第三产业投资额比上年下降15.9%,占全区固定资产投资（不含农户）的比重为89.9%。</w:t>
      </w:r>
    </w:p>
    <w:p w14:paraId="743E2EF8">
      <w:pPr>
        <w:snapToGrid w:val="0"/>
        <w:spacing w:line="480" w:lineRule="auto"/>
        <w:ind w:firstLine="420" w:firstLineChars="200"/>
        <w:jc w:val="both"/>
        <w:rPr>
          <w:rFonts w:ascii="Arial" w:hAnsi="Arial"/>
          <w:bCs/>
          <w:sz w:val="21"/>
          <w:szCs w:val="28"/>
        </w:rPr>
      </w:pPr>
      <w:r>
        <w:rPr>
          <w:rFonts w:hint="eastAsia" w:ascii="Arial" w:hAnsi="Arial"/>
          <w:bCs/>
          <w:sz w:val="21"/>
          <w:szCs w:val="28"/>
        </w:rPr>
        <w:t>2024年，大兴区居民人均可支配收入62204元，比上年增长4.4%。其中城镇居民人均可支配收入71870元，比上年增长3.6%；农村居民人均可支配收入40073元，比上年增长7.2%。从四项收入构成看，全区居民人均工资性收入45345元，比上年增长5.7%；人均财产净收入8676元，比上年下降0.6%；人均转移净收入6401元，比上年增长3.8%；人均经营净收入1782元，比上年增长1.3%。大兴区居民人均消费支出37540元，比上年增长2.5%。其中城镇居民人均消费支出41978元，比上年增长2.2%；农村居民人均消费支出27379元，比上年增长3.5%。消费支出中，居住支出11621元，比上年增长5.2%；食品烟酒支出9011元，比上年增长0.7%；交通和通信支出5193元，比上年下降1.7%。2025年10月，大兴区获评全国法治政府建设示范市（县、区）。</w:t>
      </w:r>
    </w:p>
    <w:p w14:paraId="31E9DDBF">
      <w:pPr>
        <w:spacing w:line="480" w:lineRule="auto"/>
        <w:ind w:firstLine="420" w:firstLineChars="200"/>
        <w:jc w:val="both"/>
        <w:rPr>
          <w:rFonts w:ascii="Arial" w:hAnsi="Arial"/>
          <w:sz w:val="21"/>
          <w:szCs w:val="28"/>
        </w:rPr>
      </w:pPr>
      <w:r>
        <w:rPr>
          <w:rFonts w:hint="eastAsia" w:ascii="Arial" w:hAnsi="Arial"/>
          <w:sz w:val="21"/>
          <w:szCs w:val="28"/>
        </w:rPr>
        <w:t>2.区域住宅用房房地产市场状况</w:t>
      </w:r>
    </w:p>
    <w:p w14:paraId="7D7B7FEA">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兴创荣墅、住总兴创如遇、恒盛波尔多小镇、路劲御合院、阳光波尔多、北京城建宽院国誉府等，居住小区规模一般，入住率一般，综合评价居住区成熟度一般。</w:t>
      </w:r>
      <w:r>
        <w:rPr>
          <w:rFonts w:hint="eastAsia" w:ascii="Arial" w:hAnsi="Arial"/>
          <w:sz w:val="21"/>
          <w:szCs w:val="28"/>
        </w:rPr>
        <w:t>据调查，估价对象周边同类型住宅租金约为15-25元/平方米·月。</w:t>
      </w:r>
    </w:p>
    <w:p w14:paraId="2CAB5BF1">
      <w:pPr>
        <w:spacing w:line="480" w:lineRule="auto"/>
        <w:ind w:firstLine="420" w:firstLineChars="200"/>
        <w:jc w:val="both"/>
        <w:rPr>
          <w:rFonts w:ascii="Arial" w:hAnsi="Arial"/>
          <w:sz w:val="21"/>
          <w:szCs w:val="28"/>
        </w:rPr>
      </w:pPr>
    </w:p>
    <w:p w14:paraId="33164B15">
      <w:pPr>
        <w:pStyle w:val="3"/>
        <w:numPr>
          <w:ilvl w:val="0"/>
          <w:numId w:val="0"/>
        </w:numPr>
        <w:spacing w:line="480" w:lineRule="auto"/>
        <w:ind w:left="358" w:hanging="358" w:hangingChars="170"/>
        <w:jc w:val="both"/>
        <w:rPr>
          <w:rFonts w:eastAsia="宋体"/>
          <w:kern w:val="2"/>
          <w:sz w:val="21"/>
          <w:szCs w:val="21"/>
        </w:rPr>
      </w:pPr>
      <w:bookmarkStart w:id="65" w:name="_Toc155267105"/>
      <w:r>
        <w:rPr>
          <w:rFonts w:eastAsia="宋体"/>
          <w:kern w:val="2"/>
          <w:sz w:val="21"/>
          <w:szCs w:val="21"/>
        </w:rPr>
        <w:t>三、最高最佳利用分析</w:t>
      </w:r>
      <w:bookmarkEnd w:id="57"/>
      <w:bookmarkEnd w:id="65"/>
    </w:p>
    <w:p w14:paraId="6C6C6986">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02035D2E">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DEE93A2">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5ED8F74E">
      <w:pPr>
        <w:pStyle w:val="60"/>
        <w:autoSpaceDE w:val="0"/>
        <w:autoSpaceDN w:val="0"/>
        <w:spacing w:line="480" w:lineRule="auto"/>
        <w:ind w:right="140" w:firstLine="420" w:firstLineChars="200"/>
        <w:jc w:val="both"/>
        <w:textAlignment w:val="bottom"/>
        <w:rPr>
          <w:rFonts w:ascii="Arial" w:hAnsi="Arial" w:cs="Arial"/>
          <w:sz w:val="21"/>
          <w:szCs w:val="21"/>
        </w:rPr>
      </w:pPr>
      <w:bookmarkStart w:id="66" w:name="_Hlk130232101"/>
      <w:r>
        <w:rPr>
          <w:rFonts w:hint="eastAsia" w:ascii="Arial" w:hAnsi="Arial" w:cs="Arial"/>
          <w:sz w:val="21"/>
          <w:szCs w:val="21"/>
        </w:rPr>
        <w:t>根据估价对象已取得《国有土地使用证》[京兴国用（2010）出第00133、00134、00135号]、《北京市大兴区住房和城乡建设委员会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关于采育数字时尚小镇保障性住房相关事宜专题会会议纪要》、《房屋所有权证》[X京房权证兴字第144437、144436、144435、144444、1444440、144439、144442、144443、144449、144445、144447、194022号]</w:t>
      </w:r>
      <w:r>
        <w:rPr>
          <w:rFonts w:hint="eastAsia" w:ascii="Arial" w:hAnsi="Arial" w:cs="Arial"/>
          <w:kern w:val="2"/>
          <w:sz w:val="21"/>
          <w:szCs w:val="21"/>
        </w:rPr>
        <w:t>、</w:t>
      </w:r>
      <w:r>
        <w:rPr>
          <w:rFonts w:hint="eastAsia" w:ascii="Arial" w:hAnsi="Arial" w:cs="Arial"/>
          <w:sz w:val="21"/>
          <w:szCs w:val="21"/>
        </w:rPr>
        <w:t>《房屋所有权证》[X京房权证兴字第100091、102139、102135、102136、102140、102137、102138、103831、102031、110683、110394、110393、110397、110396、110395、110392、110389号]、《房屋所有权证》[X京房权证兴字第103107、103825号]、《房屋所有权证》[X京房权证兴字第146943、146944、102030、100093、102028号]、《采育数字时尚小镇保障性住房趸组协议》及其附件，估价对象为住宅用房，法律上允许。</w:t>
      </w:r>
      <w:bookmarkEnd w:id="66"/>
    </w:p>
    <w:p w14:paraId="0E90514B">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15DD7AB9">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479ACF94">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5A09ED3C">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5FD69A1C">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45A61EDB">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0280E243">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住宅</w:t>
      </w:r>
      <w:r>
        <w:rPr>
          <w:rFonts w:hint="eastAsia" w:ascii="Arial" w:hAnsi="Arial" w:cs="Arial"/>
          <w:sz w:val="21"/>
          <w:szCs w:val="21"/>
        </w:rPr>
        <w:t>，</w:t>
      </w:r>
      <w:r>
        <w:rPr>
          <w:rFonts w:ascii="Arial" w:hAnsi="Arial" w:cs="Arial"/>
          <w:sz w:val="21"/>
          <w:szCs w:val="21"/>
        </w:rPr>
        <w:t>其使用方式以满足法律上许可、技术上可能、经济上可行为前提条件，经过论证可使估价对象价值得到最大化。</w:t>
      </w:r>
    </w:p>
    <w:p w14:paraId="580D9CB1">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61394655">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A77A29D">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为住宅</w:t>
      </w:r>
      <w:r>
        <w:rPr>
          <w:rFonts w:ascii="Arial" w:hAnsi="Arial" w:cs="Arial"/>
          <w:sz w:val="21"/>
          <w:szCs w:val="21"/>
        </w:rPr>
        <w:t>为其最高最佳使用途径。</w:t>
      </w:r>
    </w:p>
    <w:p w14:paraId="1C174F3F">
      <w:pPr>
        <w:spacing w:line="480" w:lineRule="auto"/>
        <w:ind w:firstLine="420" w:firstLineChars="200"/>
        <w:jc w:val="both"/>
        <w:rPr>
          <w:rFonts w:ascii="Arial" w:hAnsi="Arial" w:cs="Arial"/>
          <w:sz w:val="21"/>
          <w:szCs w:val="21"/>
        </w:rPr>
      </w:pPr>
    </w:p>
    <w:p w14:paraId="4ECF18BB">
      <w:pPr>
        <w:pStyle w:val="3"/>
        <w:numPr>
          <w:ilvl w:val="0"/>
          <w:numId w:val="9"/>
        </w:numPr>
        <w:spacing w:line="480" w:lineRule="auto"/>
        <w:jc w:val="both"/>
        <w:rPr>
          <w:rFonts w:eastAsia="宋体"/>
          <w:kern w:val="2"/>
          <w:sz w:val="21"/>
          <w:szCs w:val="21"/>
        </w:rPr>
      </w:pPr>
      <w:bookmarkStart w:id="67" w:name="_Toc155267106"/>
      <w:bookmarkStart w:id="68" w:name="_Toc525655439"/>
      <w:r>
        <w:rPr>
          <w:rFonts w:eastAsia="宋体"/>
          <w:kern w:val="2"/>
          <w:sz w:val="21"/>
          <w:szCs w:val="21"/>
        </w:rPr>
        <w:t>估价方法适用性分析</w:t>
      </w:r>
      <w:bookmarkEnd w:id="67"/>
      <w:bookmarkEnd w:id="68"/>
    </w:p>
    <w:p w14:paraId="17880D1E">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30666D05">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611BFBD4">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CB555E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22E4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16AAF0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36CB317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56E59AC4">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16203B5D">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178A92F">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0D24437B">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5FEF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10F421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C600C4B">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5AB7B3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275CD3C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775045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F85BAFF">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003B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3AC4D22">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6F293F7B">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3978B26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19266B0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959607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3FAA8FE9">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25BE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658BD8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5A3FD1D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0A095D6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08BEA1C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CD0DC6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4ED9368E">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bl>
    <w:p w14:paraId="526D4228">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2890208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285B6866">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408B23E0">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09BE7B65">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4AA6702B">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1543EE4D">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2446A60">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9" w:name="_Hlk155267600"/>
      <w:r>
        <w:rPr>
          <w:rFonts w:hint="eastAsia" w:hAnsi="宋体" w:cs="Arial"/>
          <w:sz w:val="21"/>
          <w:szCs w:val="21"/>
        </w:rPr>
        <w:t>（1）估价对象适用比较法，且已优先采用比较法进行评估，故不再采用成本法进行测算。</w:t>
      </w:r>
    </w:p>
    <w:p w14:paraId="10861443">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690AEE2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9"/>
      <w:r>
        <w:rPr>
          <w:rFonts w:hint="eastAsia" w:hAnsi="宋体" w:cs="Arial"/>
          <w:sz w:val="21"/>
          <w:szCs w:val="21"/>
        </w:rPr>
        <w:t>。</w:t>
      </w:r>
    </w:p>
    <w:p w14:paraId="0C8B0DA7">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03676569">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5F3016C3">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620B9B31">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11C00817">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26E29BF7">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0BE676E9">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13E13BD8">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056BB46E">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1397EAE7">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15E31467">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58ACBABD">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进行交易情况、交易日期、项目类型、房地产状况等因素修正</w:t>
      </w:r>
    </w:p>
    <w:p w14:paraId="45903B70">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求取估价对象比准价格</w:t>
      </w:r>
      <w:bookmarkStart w:id="70" w:name="_Toc525655440"/>
      <w:bookmarkStart w:id="71" w:name="_Toc155267107"/>
    </w:p>
    <w:p w14:paraId="0B1CCBC2">
      <w:pPr>
        <w:rPr>
          <w:kern w:val="2"/>
          <w:sz w:val="21"/>
          <w:szCs w:val="21"/>
        </w:rPr>
      </w:pPr>
      <w:r>
        <w:rPr>
          <w:kern w:val="2"/>
          <w:sz w:val="21"/>
          <w:szCs w:val="21"/>
        </w:rPr>
        <w:br w:type="page"/>
      </w:r>
    </w:p>
    <w:p w14:paraId="2F808D64">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70"/>
      <w:bookmarkEnd w:id="71"/>
      <w:r>
        <w:rPr>
          <w:rFonts w:hint="eastAsia" w:eastAsia="宋体"/>
          <w:kern w:val="2"/>
          <w:sz w:val="21"/>
          <w:szCs w:val="21"/>
        </w:rPr>
        <w:t xml:space="preserve">  </w:t>
      </w:r>
    </w:p>
    <w:p w14:paraId="19FD0ED2">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66F15D13">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029C1F2F">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参照特定项目的建筑类型、结构、户型（含面积）、装饰装修、设施设备、家具家电、楼层、朝向等指标进行分类，分别设定的具有代表性的房屋。标准房设定时，其结构、装饰装修、设施设备、家具家电按照众数设定，楼层、朝向按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558C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02C7BED">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1FB1174B">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A9F7D1D">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670F9BEE">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19D3D13C">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1C2FB91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26DC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99FF6F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25AD12E5">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78A7A9B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79CFDB0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F22216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09EBC822">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2878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9F7339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55A528F8">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0212EAB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7A7A846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00A672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0F75CF4E">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657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D2ED8B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0B15D95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338EC4E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7E341BA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7FBD93C">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4E24C4DB">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bl>
    <w:p w14:paraId="431A0F7E">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53455EE5">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2A393F32">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一居室标准房市场租金水平）</w:t>
      </w:r>
    </w:p>
    <w:p w14:paraId="6C060423">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E928642">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采育镇周边住宅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0B3F56A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5782331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6ACCD6A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411FF0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279DFFE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5D4C51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3F7222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居室户型，低楼层，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65.43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为24.45元/平方米·月（含物业费1.68元/平方米·月、取暖费2.5元/平方米·月）。</w:t>
      </w:r>
    </w:p>
    <w:p w14:paraId="2EC82EE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7FEE005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育新花园中里</w:t>
      </w:r>
    </w:p>
    <w:p w14:paraId="0478BC0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大兴区采育镇育林街2号院</w:t>
      </w:r>
    </w:p>
    <w:p w14:paraId="4954E2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55825A8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4CF219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574FAE3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w:t>
      </w:r>
      <w:r>
        <w:rPr>
          <w:rFonts w:hint="eastAsia" w:ascii="Arial" w:hAnsi="Arial" w:cs="Arial"/>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南</w:t>
      </w:r>
      <w:r>
        <w:rPr>
          <w:rFonts w:ascii="Arial" w:hAnsi="Arial" w:cs="Arial"/>
          <w:sz w:val="21"/>
          <w:szCs w:val="21"/>
        </w:rPr>
        <w:t>侧紧邻城市</w:t>
      </w:r>
      <w:r>
        <w:rPr>
          <w:rFonts w:hint="eastAsia" w:ascii="Arial" w:hAnsi="Arial" w:cs="Arial"/>
          <w:kern w:val="2"/>
          <w:sz w:val="21"/>
          <w:szCs w:val="21"/>
        </w:rPr>
        <w:t>次干道——采星路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kern w:val="2"/>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10</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85.31</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为23.44元/平方米·月（含物业费</w:t>
      </w:r>
      <w:r>
        <w:rPr>
          <w:rFonts w:ascii="Arial" w:hAnsi="Arial" w:cs="Arial"/>
          <w:sz w:val="21"/>
          <w:szCs w:val="21"/>
        </w:rPr>
        <w:t>1.</w:t>
      </w:r>
      <w:r>
        <w:rPr>
          <w:rFonts w:hint="eastAsia" w:ascii="Arial" w:hAnsi="Arial" w:cs="Arial"/>
          <w:sz w:val="21"/>
          <w:szCs w:val="21"/>
        </w:rPr>
        <w:t>56元/平方米·月、取暖费2.5元/平方米·月）</w:t>
      </w:r>
      <w:r>
        <w:rPr>
          <w:rFonts w:ascii="Arial" w:hAnsi="Arial" w:cs="Arial"/>
          <w:sz w:val="21"/>
          <w:szCs w:val="21"/>
        </w:rPr>
        <w:t>。</w:t>
      </w:r>
    </w:p>
    <w:p w14:paraId="55CF02B7">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4E421A6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育新花园北里</w:t>
      </w:r>
    </w:p>
    <w:p w14:paraId="5288C1A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大兴区采育镇育林街1号院</w:t>
      </w:r>
    </w:p>
    <w:p w14:paraId="78AA691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6D3103E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4DBFCD">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9554A8F">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w:t>
      </w:r>
      <w:r>
        <w:rPr>
          <w:rFonts w:hint="eastAsia" w:ascii="Arial" w:hAnsi="Arial" w:cs="Arial"/>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kern w:val="2"/>
          <w:sz w:val="21"/>
          <w:szCs w:val="21"/>
        </w:rPr>
        <w:t>次干道——福源路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kern w:val="2"/>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14</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87.39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为22.89元/平方米·月（含物业费</w:t>
      </w:r>
      <w:r>
        <w:rPr>
          <w:rFonts w:ascii="Arial" w:hAnsi="Arial" w:cs="Arial"/>
          <w:sz w:val="21"/>
          <w:szCs w:val="21"/>
        </w:rPr>
        <w:t>1.</w:t>
      </w:r>
      <w:r>
        <w:rPr>
          <w:rFonts w:hint="eastAsia" w:ascii="Arial" w:hAnsi="Arial" w:cs="Arial"/>
          <w:sz w:val="21"/>
          <w:szCs w:val="21"/>
        </w:rPr>
        <w:t>56元/平方米·月、取暖费2.5元/平方米·月）</w:t>
      </w:r>
      <w:r>
        <w:rPr>
          <w:rFonts w:ascii="Arial" w:hAnsi="Arial" w:cs="Arial"/>
          <w:sz w:val="21"/>
          <w:szCs w:val="21"/>
        </w:rPr>
        <w:t>。</w:t>
      </w:r>
    </w:p>
    <w:p w14:paraId="6E3B170E">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30A6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3D4F2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888A73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59FB8D2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7542A86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0E9F03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6359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01F984E">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10AB45A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2" w:type="dxa"/>
            <w:vAlign w:val="center"/>
          </w:tcPr>
          <w:p w14:paraId="27D3C5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12" w:type="dxa"/>
            <w:vAlign w:val="center"/>
          </w:tcPr>
          <w:p w14:paraId="644F88C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1815" w:type="dxa"/>
            <w:vAlign w:val="center"/>
          </w:tcPr>
          <w:p w14:paraId="64BB051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5C4E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EF50B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515B2E1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6B2762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24.45</w:t>
            </w:r>
          </w:p>
        </w:tc>
        <w:tc>
          <w:tcPr>
            <w:tcW w:w="1812" w:type="dxa"/>
            <w:vAlign w:val="center"/>
          </w:tcPr>
          <w:p w14:paraId="3FF138E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23.44</w:t>
            </w:r>
          </w:p>
        </w:tc>
        <w:tc>
          <w:tcPr>
            <w:tcW w:w="1815" w:type="dxa"/>
            <w:vAlign w:val="center"/>
          </w:tcPr>
          <w:p w14:paraId="34F3FCF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22.89</w:t>
            </w:r>
          </w:p>
        </w:tc>
      </w:tr>
      <w:tr w14:paraId="4BAE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716015A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AC72CA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val="en-US" w:eastAsia="zh-CN"/>
              </w:rPr>
              <w:t>同时</w:t>
            </w:r>
            <w:r>
              <w:rPr>
                <w:rFonts w:hint="eastAsia" w:ascii="Arial" w:hAnsi="Arial" w:cs="Arial"/>
                <w:sz w:val="16"/>
                <w:szCs w:val="18"/>
              </w:rPr>
              <w:t>包含房屋、家具家电使用费、物业费及租赁税费，</w:t>
            </w:r>
            <w:r>
              <w:rPr>
                <w:rFonts w:hint="eastAsia" w:ascii="Arial" w:hAnsi="Arial" w:cs="Arial"/>
                <w:sz w:val="16"/>
                <w:szCs w:val="18"/>
                <w:lang w:val="en-US" w:eastAsia="zh-CN"/>
              </w:rPr>
              <w:t>同时</w:t>
            </w:r>
            <w:r>
              <w:rPr>
                <w:rFonts w:hint="eastAsia" w:ascii="Arial" w:hAnsi="Arial" w:cs="Arial"/>
                <w:sz w:val="16"/>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2" w:type="dxa"/>
            <w:vAlign w:val="center"/>
          </w:tcPr>
          <w:p w14:paraId="0A80237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10D9B427">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5" w:type="dxa"/>
            <w:vAlign w:val="center"/>
          </w:tcPr>
          <w:p w14:paraId="1D19CA58">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118A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A69A197">
            <w:pPr>
              <w:pStyle w:val="61"/>
              <w:autoSpaceDE w:val="0"/>
              <w:autoSpaceDN w:val="0"/>
              <w:spacing w:line="240" w:lineRule="exact"/>
              <w:textAlignment w:val="bottom"/>
              <w:rPr>
                <w:rFonts w:ascii="Arial" w:hAnsi="Arial" w:cs="Arial"/>
                <w:sz w:val="16"/>
                <w:szCs w:val="18"/>
              </w:rPr>
            </w:pPr>
          </w:p>
        </w:tc>
        <w:tc>
          <w:tcPr>
            <w:tcW w:w="1812" w:type="dxa"/>
            <w:vAlign w:val="center"/>
          </w:tcPr>
          <w:p w14:paraId="3924A0C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3DB3830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4.18</w:t>
            </w:r>
          </w:p>
        </w:tc>
        <w:tc>
          <w:tcPr>
            <w:tcW w:w="1812" w:type="dxa"/>
            <w:vAlign w:val="center"/>
          </w:tcPr>
          <w:p w14:paraId="58CFB39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c>
          <w:tcPr>
            <w:tcW w:w="1815" w:type="dxa"/>
            <w:vAlign w:val="center"/>
          </w:tcPr>
          <w:p w14:paraId="3AA9169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19B7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0E7CE96">
            <w:pPr>
              <w:pStyle w:val="61"/>
              <w:autoSpaceDE w:val="0"/>
              <w:autoSpaceDN w:val="0"/>
              <w:spacing w:line="240" w:lineRule="exact"/>
              <w:textAlignment w:val="bottom"/>
              <w:rPr>
                <w:rFonts w:ascii="Arial" w:hAnsi="Arial" w:cs="Arial"/>
                <w:sz w:val="16"/>
                <w:szCs w:val="18"/>
              </w:rPr>
            </w:pPr>
          </w:p>
        </w:tc>
        <w:tc>
          <w:tcPr>
            <w:tcW w:w="1812" w:type="dxa"/>
            <w:vAlign w:val="center"/>
          </w:tcPr>
          <w:p w14:paraId="25A418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19BC6AA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12" w:type="dxa"/>
            <w:vAlign w:val="center"/>
          </w:tcPr>
          <w:p w14:paraId="4A90753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15" w:type="dxa"/>
            <w:vAlign w:val="center"/>
          </w:tcPr>
          <w:p w14:paraId="3B00DF9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178E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8B3876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0ECB312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A8D6FE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C4716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BFD060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575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824C6F7">
            <w:pPr>
              <w:pStyle w:val="61"/>
              <w:autoSpaceDE w:val="0"/>
              <w:autoSpaceDN w:val="0"/>
              <w:spacing w:line="240" w:lineRule="exact"/>
              <w:textAlignment w:val="bottom"/>
              <w:rPr>
                <w:rFonts w:ascii="Arial" w:hAnsi="Arial" w:cs="Arial"/>
                <w:sz w:val="16"/>
                <w:szCs w:val="18"/>
              </w:rPr>
            </w:pPr>
          </w:p>
        </w:tc>
        <w:tc>
          <w:tcPr>
            <w:tcW w:w="1812" w:type="dxa"/>
            <w:vAlign w:val="center"/>
          </w:tcPr>
          <w:p w14:paraId="2C64515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4D470E0">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202003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BD339B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A60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84137C9">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4B77BA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3A1B8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0358290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473DD1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225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CE4237D">
            <w:pPr>
              <w:pStyle w:val="61"/>
              <w:autoSpaceDE w:val="0"/>
              <w:autoSpaceDN w:val="0"/>
              <w:spacing w:line="240" w:lineRule="exact"/>
              <w:textAlignment w:val="bottom"/>
              <w:rPr>
                <w:rFonts w:ascii="Arial" w:hAnsi="Arial" w:cs="Arial"/>
                <w:sz w:val="16"/>
                <w:szCs w:val="18"/>
              </w:rPr>
            </w:pPr>
          </w:p>
        </w:tc>
        <w:tc>
          <w:tcPr>
            <w:tcW w:w="1812" w:type="dxa"/>
            <w:vAlign w:val="center"/>
          </w:tcPr>
          <w:p w14:paraId="3A21080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0808B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8C5DF9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5F5079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642A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6FE894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2" w:type="dxa"/>
            <w:vAlign w:val="center"/>
          </w:tcPr>
          <w:p w14:paraId="01CDD5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C076D0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12" w:type="dxa"/>
            <w:vAlign w:val="center"/>
          </w:tcPr>
          <w:p w14:paraId="7FA3528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15" w:type="dxa"/>
            <w:vAlign w:val="center"/>
          </w:tcPr>
          <w:p w14:paraId="126EE84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bl>
    <w:p w14:paraId="2945285E">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7EBCA12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1A9EE0F3">
            <w:pPr>
              <w:jc w:val="center"/>
              <w:rPr>
                <w:rFonts w:ascii="华文细黑" w:hAnsi="华文细黑" w:eastAsia="华文细黑"/>
              </w:rPr>
            </w:pPr>
            <w:r>
              <w:rPr>
                <w:rFonts w:hint="eastAsia" w:ascii="华文细黑" w:hAnsi="华文细黑" w:eastAsia="华文细黑"/>
              </w:rPr>
              <w:t>实例位置</w:t>
            </w:r>
          </w:p>
        </w:tc>
      </w:tr>
      <w:tr w14:paraId="69824CAB">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54FCCEE">
            <w:pPr>
              <w:jc w:val="center"/>
              <w:rPr>
                <w:rFonts w:ascii="Calibri" w:hAnsi="Calibri"/>
              </w:rPr>
            </w:pPr>
            <w:r>
              <w:drawing>
                <wp:inline distT="0" distB="0" distL="114300" distR="114300">
                  <wp:extent cx="5868035" cy="3771900"/>
                  <wp:effectExtent l="0" t="0" r="1460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2"/>
                          <a:stretch>
                            <a:fillRect/>
                          </a:stretch>
                        </pic:blipFill>
                        <pic:spPr>
                          <a:xfrm>
                            <a:off x="0" y="0"/>
                            <a:ext cx="5868035" cy="3771900"/>
                          </a:xfrm>
                          <a:prstGeom prst="rect">
                            <a:avLst/>
                          </a:prstGeom>
                          <a:noFill/>
                          <a:ln>
                            <a:noFill/>
                          </a:ln>
                        </pic:spPr>
                      </pic:pic>
                    </a:graphicData>
                  </a:graphic>
                </wp:inline>
              </w:drawing>
            </w:r>
          </w:p>
        </w:tc>
      </w:tr>
    </w:tbl>
    <w:p w14:paraId="39AD52AB"/>
    <w:p w14:paraId="480BA8AF">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02B0ABC7">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3232A6C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4"/>
        <w:gridCol w:w="1442"/>
        <w:gridCol w:w="1844"/>
        <w:gridCol w:w="1844"/>
        <w:gridCol w:w="1844"/>
        <w:gridCol w:w="1847"/>
      </w:tblGrid>
      <w:tr w14:paraId="0993079C">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110DFE2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5FCD0E1A">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32A47C5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3D25622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70CA7AAF">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743551CD">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E99C6D6">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844" w:type="dxa"/>
            <w:tcBorders>
              <w:top w:val="nil"/>
              <w:left w:val="nil"/>
              <w:bottom w:val="single" w:color="auto" w:sz="4" w:space="0"/>
              <w:right w:val="single" w:color="auto" w:sz="4" w:space="0"/>
            </w:tcBorders>
            <w:vAlign w:val="center"/>
          </w:tcPr>
          <w:p w14:paraId="023F252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44" w:type="dxa"/>
            <w:tcBorders>
              <w:top w:val="nil"/>
              <w:left w:val="nil"/>
              <w:bottom w:val="single" w:color="auto" w:sz="4" w:space="0"/>
              <w:right w:val="single" w:color="auto" w:sz="4" w:space="0"/>
            </w:tcBorders>
            <w:vAlign w:val="center"/>
          </w:tcPr>
          <w:p w14:paraId="2656F7D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44" w:type="dxa"/>
            <w:tcBorders>
              <w:top w:val="nil"/>
              <w:left w:val="nil"/>
              <w:bottom w:val="single" w:color="auto" w:sz="4" w:space="0"/>
              <w:right w:val="single" w:color="auto" w:sz="4" w:space="0"/>
            </w:tcBorders>
            <w:vAlign w:val="center"/>
          </w:tcPr>
          <w:p w14:paraId="4706EB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1847" w:type="dxa"/>
            <w:tcBorders>
              <w:top w:val="nil"/>
              <w:left w:val="nil"/>
              <w:bottom w:val="single" w:color="auto" w:sz="4" w:space="0"/>
              <w:right w:val="single" w:color="auto" w:sz="4" w:space="0"/>
            </w:tcBorders>
            <w:vAlign w:val="center"/>
          </w:tcPr>
          <w:p w14:paraId="38F9A02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53B2DFD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10C324D">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1844" w:type="dxa"/>
            <w:tcBorders>
              <w:top w:val="nil"/>
              <w:left w:val="nil"/>
              <w:bottom w:val="single" w:color="auto" w:sz="4" w:space="0"/>
              <w:right w:val="single" w:color="auto" w:sz="4" w:space="0"/>
            </w:tcBorders>
            <w:vAlign w:val="center"/>
          </w:tcPr>
          <w:p w14:paraId="0FA696B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33A65DB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44" w:type="dxa"/>
            <w:tcBorders>
              <w:top w:val="nil"/>
              <w:left w:val="nil"/>
              <w:bottom w:val="single" w:color="auto" w:sz="4" w:space="0"/>
              <w:right w:val="single" w:color="auto" w:sz="4" w:space="0"/>
            </w:tcBorders>
            <w:vAlign w:val="center"/>
          </w:tcPr>
          <w:p w14:paraId="71F802B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47" w:type="dxa"/>
            <w:tcBorders>
              <w:top w:val="nil"/>
              <w:left w:val="nil"/>
              <w:bottom w:val="single" w:color="auto" w:sz="4" w:space="0"/>
              <w:right w:val="single" w:color="auto" w:sz="4" w:space="0"/>
            </w:tcBorders>
            <w:vAlign w:val="center"/>
          </w:tcPr>
          <w:p w14:paraId="2D3F5F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5AADBC9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BFB440F">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8D711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1BB0E683">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6A391C3A">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356BC63B">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7CBC21D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645992">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0CF3334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B1D71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B146A4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62C48CC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7DA18DE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EB63661">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4EC9F4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721ED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C0063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31CB931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3106C9C1">
        <w:tblPrEx>
          <w:tblCellMar>
            <w:top w:w="0" w:type="dxa"/>
            <w:left w:w="108" w:type="dxa"/>
            <w:bottom w:w="0" w:type="dxa"/>
            <w:right w:w="108" w:type="dxa"/>
          </w:tblCellMar>
        </w:tblPrEx>
        <w:trPr>
          <w:trHeight w:val="397" w:hRule="atLeast"/>
          <w:jc w:val="center"/>
        </w:trPr>
        <w:tc>
          <w:tcPr>
            <w:tcW w:w="365" w:type="pct"/>
            <w:vMerge w:val="restart"/>
            <w:tcBorders>
              <w:top w:val="nil"/>
              <w:left w:val="single" w:color="auto" w:sz="4" w:space="0"/>
              <w:bottom w:val="single" w:color="000000" w:sz="4" w:space="0"/>
              <w:right w:val="single" w:color="auto" w:sz="4" w:space="0"/>
            </w:tcBorders>
            <w:vAlign w:val="center"/>
          </w:tcPr>
          <w:p w14:paraId="3B276CE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7" w:type="pct"/>
            <w:tcBorders>
              <w:top w:val="nil"/>
              <w:left w:val="nil"/>
              <w:bottom w:val="single" w:color="auto" w:sz="4" w:space="0"/>
              <w:right w:val="single" w:color="auto" w:sz="4" w:space="0"/>
            </w:tcBorders>
            <w:vAlign w:val="center"/>
          </w:tcPr>
          <w:p w14:paraId="7D60D27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609D73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12C0CFF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sz w:val="16"/>
                <w:szCs w:val="18"/>
              </w:rPr>
              <w:t>。</w:t>
            </w:r>
          </w:p>
        </w:tc>
        <w:tc>
          <w:tcPr>
            <w:tcW w:w="968" w:type="pct"/>
            <w:tcBorders>
              <w:top w:val="nil"/>
              <w:left w:val="nil"/>
              <w:bottom w:val="single" w:color="auto" w:sz="4" w:space="0"/>
              <w:right w:val="single" w:color="auto" w:sz="4" w:space="0"/>
            </w:tcBorders>
            <w:vAlign w:val="center"/>
          </w:tcPr>
          <w:p w14:paraId="5B5ED7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2E96CC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r>
      <w:tr w14:paraId="2BA960F5">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47AAFF9">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63ECBBD8">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710B6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4F8AB6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46ACD68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周边500米内有城市次干道——采星路</w:t>
            </w:r>
          </w:p>
        </w:tc>
        <w:tc>
          <w:tcPr>
            <w:tcW w:w="970" w:type="pct"/>
            <w:tcBorders>
              <w:top w:val="nil"/>
              <w:left w:val="nil"/>
              <w:bottom w:val="single" w:color="auto" w:sz="4" w:space="0"/>
              <w:right w:val="single" w:color="auto" w:sz="4" w:space="0"/>
            </w:tcBorders>
            <w:vAlign w:val="center"/>
          </w:tcPr>
          <w:p w14:paraId="1D2E1F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r>
      <w:tr w14:paraId="300AE911">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1FCA10BB">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7564115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1340A8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0E5F289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0A92687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0" w:type="pct"/>
            <w:tcBorders>
              <w:top w:val="nil"/>
              <w:left w:val="nil"/>
              <w:bottom w:val="single" w:color="auto" w:sz="4" w:space="0"/>
              <w:right w:val="single" w:color="auto" w:sz="4" w:space="0"/>
            </w:tcBorders>
            <w:vAlign w:val="center"/>
          </w:tcPr>
          <w:p w14:paraId="694FD3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03290138">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979185B">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495EFCF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2307D3A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0BFFB7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294E47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70" w:type="pct"/>
            <w:tcBorders>
              <w:top w:val="nil"/>
              <w:left w:val="nil"/>
              <w:bottom w:val="single" w:color="auto" w:sz="4" w:space="0"/>
              <w:right w:val="single" w:color="auto" w:sz="4" w:space="0"/>
            </w:tcBorders>
            <w:vAlign w:val="center"/>
          </w:tcPr>
          <w:p w14:paraId="7FCB73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4CC3A64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21ACB0E6">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3C11747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B52AB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3082656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9A31C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260579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81FA64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F2B65EB">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1AA5E5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06358B2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BCEAB3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w:t>
            </w:r>
            <w:r>
              <w:rPr>
                <w:rFonts w:hint="eastAsia" w:ascii="Arial" w:hAnsi="Arial" w:cs="Arial"/>
                <w:sz w:val="16"/>
                <w:szCs w:val="18"/>
              </w:rPr>
              <w:t>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0504C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3742AF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周边2公里周边有采育公园、凤河等自然景观，自然与人文环境一般</w:t>
            </w:r>
            <w:r>
              <w:rPr>
                <w:rFonts w:ascii="Arial" w:hAnsi="Arial" w:cs="Arial"/>
                <w:sz w:val="16"/>
                <w:szCs w:val="18"/>
              </w:rPr>
              <w:t>。</w:t>
            </w:r>
          </w:p>
        </w:tc>
      </w:tr>
      <w:tr w14:paraId="39AC7A9C">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DB4EED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6B3297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3264B6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4407D1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7C381E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4A57F0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37E335E4">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8C752D2">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5995C7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CB534A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24CB6DB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sz w:val="16"/>
                <w:szCs w:val="18"/>
              </w:rPr>
              <w:t>。</w:t>
            </w:r>
          </w:p>
        </w:tc>
        <w:tc>
          <w:tcPr>
            <w:tcW w:w="968" w:type="pct"/>
            <w:tcBorders>
              <w:top w:val="nil"/>
              <w:left w:val="nil"/>
              <w:bottom w:val="single" w:color="auto" w:sz="4" w:space="0"/>
              <w:right w:val="single" w:color="auto" w:sz="4" w:space="0"/>
            </w:tcBorders>
            <w:vAlign w:val="center"/>
          </w:tcPr>
          <w:p w14:paraId="30741A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243CFDC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09EAC939">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2329B3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7DCB38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76D2EE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F8887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2AF2A8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70" w:type="pct"/>
            <w:tcBorders>
              <w:top w:val="nil"/>
              <w:left w:val="nil"/>
              <w:bottom w:val="single" w:color="auto" w:sz="4" w:space="0"/>
              <w:right w:val="single" w:color="auto" w:sz="4" w:space="0"/>
            </w:tcBorders>
            <w:vAlign w:val="center"/>
          </w:tcPr>
          <w:p w14:paraId="28445C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r>
      <w:tr w14:paraId="2A01D6B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E92A13F">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76306D5B">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EF1F4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E17447C">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68" w:type="pct"/>
            <w:tcBorders>
              <w:top w:val="nil"/>
              <w:left w:val="nil"/>
              <w:bottom w:val="single" w:color="auto" w:sz="4" w:space="0"/>
              <w:right w:val="single" w:color="auto" w:sz="4" w:space="0"/>
            </w:tcBorders>
            <w:vAlign w:val="center"/>
          </w:tcPr>
          <w:p w14:paraId="33AF505C">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70" w:type="pct"/>
            <w:tcBorders>
              <w:top w:val="nil"/>
              <w:left w:val="nil"/>
              <w:bottom w:val="single" w:color="auto" w:sz="4" w:space="0"/>
              <w:right w:val="single" w:color="auto" w:sz="4" w:space="0"/>
            </w:tcBorders>
            <w:vAlign w:val="center"/>
          </w:tcPr>
          <w:p w14:paraId="17976F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2D3EEE3F">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auto" w:sz="4" w:space="0"/>
              <w:right w:val="single" w:color="auto" w:sz="4" w:space="0"/>
            </w:tcBorders>
            <w:vAlign w:val="center"/>
          </w:tcPr>
          <w:p w14:paraId="7C68A28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3215D6E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5130A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B144F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194852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1996E8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4153492B">
        <w:tblPrEx>
          <w:tblCellMar>
            <w:top w:w="0" w:type="dxa"/>
            <w:left w:w="108" w:type="dxa"/>
            <w:bottom w:w="0" w:type="dxa"/>
            <w:right w:w="108" w:type="dxa"/>
          </w:tblCellMar>
        </w:tblPrEx>
        <w:trPr>
          <w:trHeight w:val="397" w:hRule="atLeast"/>
          <w:jc w:val="center"/>
        </w:trPr>
        <w:tc>
          <w:tcPr>
            <w:tcW w:w="365" w:type="pct"/>
            <w:vMerge w:val="restart"/>
            <w:tcBorders>
              <w:top w:val="single" w:color="auto" w:sz="4" w:space="0"/>
              <w:left w:val="single" w:color="auto" w:sz="4" w:space="0"/>
              <w:bottom w:val="single" w:color="auto" w:sz="4" w:space="0"/>
              <w:right w:val="single" w:color="auto" w:sz="4" w:space="0"/>
            </w:tcBorders>
            <w:vAlign w:val="center"/>
          </w:tcPr>
          <w:p w14:paraId="25463B76">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7" w:type="pct"/>
            <w:tcBorders>
              <w:top w:val="single" w:color="auto" w:sz="4" w:space="0"/>
              <w:left w:val="nil"/>
              <w:bottom w:val="single" w:color="auto" w:sz="4" w:space="0"/>
              <w:right w:val="single" w:color="auto" w:sz="4" w:space="0"/>
            </w:tcBorders>
            <w:vAlign w:val="center"/>
          </w:tcPr>
          <w:p w14:paraId="603A277B">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76AA4F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04BA9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6975290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22B847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504631F4">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37206A8">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C59CD1E">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014CAADF">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7E4BDF11">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1B215350">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12DB52B3">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50DA0D5F">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9FFD945">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7BE3842">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4E789EF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29DDA02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2986C867">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633A5F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简单装修</w:t>
            </w:r>
          </w:p>
        </w:tc>
      </w:tr>
      <w:tr w14:paraId="75AFEB77">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2328553">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1923265">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18C2EDA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AF77F4E">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69A3DF3">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3F44C5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27BEF10B">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B048A7D">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96ACDAE">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BB59AC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AF605E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88006D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694C1098">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5959FAC2">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4239372">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1AB951E">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2825B1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203D4D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5B6E5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5EEDC7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17F925AD">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ACF0AF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4643A792">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5CA7B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2D0C20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B794D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B574F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635C6BB5">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8A8AB9E">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50B23E8D">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27AFC2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69.91</w:t>
            </w:r>
          </w:p>
        </w:tc>
        <w:tc>
          <w:tcPr>
            <w:tcW w:w="968" w:type="pct"/>
            <w:tcBorders>
              <w:top w:val="single" w:color="auto" w:sz="4" w:space="0"/>
              <w:left w:val="nil"/>
              <w:bottom w:val="single" w:color="auto" w:sz="4" w:space="0"/>
              <w:right w:val="single" w:color="auto" w:sz="4" w:space="0"/>
            </w:tcBorders>
            <w:vAlign w:val="center"/>
          </w:tcPr>
          <w:p w14:paraId="22948B7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65.43</w:t>
            </w:r>
          </w:p>
        </w:tc>
        <w:tc>
          <w:tcPr>
            <w:tcW w:w="968" w:type="pct"/>
            <w:tcBorders>
              <w:top w:val="single" w:color="auto" w:sz="4" w:space="0"/>
              <w:left w:val="nil"/>
              <w:bottom w:val="single" w:color="auto" w:sz="4" w:space="0"/>
              <w:right w:val="single" w:color="auto" w:sz="4" w:space="0"/>
            </w:tcBorders>
            <w:vAlign w:val="center"/>
          </w:tcPr>
          <w:p w14:paraId="386501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85.31</w:t>
            </w:r>
          </w:p>
        </w:tc>
        <w:tc>
          <w:tcPr>
            <w:tcW w:w="970" w:type="pct"/>
            <w:tcBorders>
              <w:top w:val="single" w:color="auto" w:sz="4" w:space="0"/>
              <w:left w:val="nil"/>
              <w:bottom w:val="single" w:color="auto" w:sz="4" w:space="0"/>
              <w:right w:val="single" w:color="auto" w:sz="4" w:space="0"/>
            </w:tcBorders>
            <w:vAlign w:val="center"/>
          </w:tcPr>
          <w:p w14:paraId="6729E7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87.39</w:t>
            </w:r>
          </w:p>
        </w:tc>
      </w:tr>
      <w:tr w14:paraId="4D1C5DB8">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0AA1221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A525DC9">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1921629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7874F65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67FB9C09">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71E145F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2ED6F4AE">
        <w:tblPrEx>
          <w:tblCellMar>
            <w:top w:w="0" w:type="dxa"/>
            <w:left w:w="108" w:type="dxa"/>
            <w:bottom w:w="0" w:type="dxa"/>
            <w:right w:w="108" w:type="dxa"/>
          </w:tblCellMar>
        </w:tblPrEx>
        <w:trPr>
          <w:trHeight w:val="397" w:hRule="atLeast"/>
          <w:jc w:val="center"/>
        </w:trPr>
        <w:tc>
          <w:tcPr>
            <w:tcW w:w="365" w:type="pct"/>
            <w:vMerge w:val="restart"/>
            <w:tcBorders>
              <w:left w:val="single" w:color="auto" w:sz="4" w:space="0"/>
              <w:bottom w:val="single" w:color="auto" w:sz="4" w:space="0"/>
              <w:right w:val="single" w:color="auto" w:sz="4" w:space="0"/>
            </w:tcBorders>
            <w:vAlign w:val="center"/>
          </w:tcPr>
          <w:p w14:paraId="5CC74A87">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7" w:type="pct"/>
            <w:tcBorders>
              <w:top w:val="single" w:color="auto" w:sz="4" w:space="0"/>
              <w:left w:val="nil"/>
              <w:bottom w:val="single" w:color="auto" w:sz="4" w:space="0"/>
              <w:right w:val="single" w:color="auto" w:sz="4" w:space="0"/>
            </w:tcBorders>
            <w:vAlign w:val="center"/>
          </w:tcPr>
          <w:p w14:paraId="76C0C6F6">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AF7807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FF791EF">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396F70E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48BFB92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30B2783E">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DE3CC7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C00DB1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313F16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95AB77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DB9F39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ADC4D9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C23AAB7">
      <w:pPr>
        <w:overflowPunct w:val="0"/>
        <w:spacing w:line="480" w:lineRule="auto"/>
        <w:ind w:firstLine="420" w:firstLineChars="200"/>
        <w:jc w:val="center"/>
        <w:rPr>
          <w:rFonts w:ascii="Arial" w:hAnsi="Arial"/>
          <w:sz w:val="21"/>
          <w:szCs w:val="21"/>
        </w:rPr>
      </w:pPr>
    </w:p>
    <w:p w14:paraId="28BDB48E">
      <w:pPr>
        <w:overflowPunct w:val="0"/>
        <w:spacing w:line="480" w:lineRule="auto"/>
        <w:ind w:firstLine="420" w:firstLineChars="200"/>
        <w:jc w:val="center"/>
        <w:rPr>
          <w:rFonts w:ascii="Arial" w:hAnsi="Arial"/>
          <w:sz w:val="21"/>
          <w:szCs w:val="21"/>
        </w:rPr>
      </w:pPr>
    </w:p>
    <w:p w14:paraId="5BB7773C">
      <w:pPr>
        <w:overflowPunct w:val="0"/>
        <w:spacing w:line="480" w:lineRule="auto"/>
        <w:ind w:firstLine="420" w:firstLineChars="200"/>
        <w:jc w:val="center"/>
        <w:rPr>
          <w:rFonts w:ascii="Arial" w:hAnsi="Arial"/>
          <w:sz w:val="21"/>
          <w:szCs w:val="21"/>
        </w:rPr>
      </w:pPr>
    </w:p>
    <w:p w14:paraId="37E72574">
      <w:pPr>
        <w:overflowPunct w:val="0"/>
        <w:spacing w:line="480" w:lineRule="auto"/>
        <w:ind w:firstLine="420" w:firstLineChars="200"/>
        <w:jc w:val="center"/>
        <w:rPr>
          <w:rFonts w:ascii="Arial" w:hAnsi="Arial"/>
          <w:sz w:val="21"/>
          <w:szCs w:val="21"/>
        </w:rPr>
      </w:pPr>
    </w:p>
    <w:p w14:paraId="6D646450">
      <w:pPr>
        <w:overflowPunct w:val="0"/>
        <w:spacing w:line="480" w:lineRule="auto"/>
        <w:ind w:firstLine="420" w:firstLineChars="200"/>
        <w:jc w:val="center"/>
        <w:rPr>
          <w:rFonts w:ascii="Arial" w:hAnsi="Arial"/>
          <w:sz w:val="21"/>
          <w:szCs w:val="21"/>
        </w:rPr>
      </w:pPr>
    </w:p>
    <w:p w14:paraId="57D65B77">
      <w:pPr>
        <w:overflowPunct w:val="0"/>
        <w:spacing w:line="480" w:lineRule="auto"/>
        <w:ind w:firstLine="420" w:firstLineChars="200"/>
        <w:jc w:val="center"/>
        <w:rPr>
          <w:rFonts w:ascii="Arial" w:hAnsi="Arial"/>
          <w:sz w:val="21"/>
          <w:szCs w:val="21"/>
        </w:rPr>
      </w:pPr>
    </w:p>
    <w:p w14:paraId="330739D6">
      <w:pPr>
        <w:overflowPunct w:val="0"/>
        <w:spacing w:line="480" w:lineRule="auto"/>
        <w:ind w:firstLine="420" w:firstLineChars="200"/>
        <w:jc w:val="center"/>
        <w:rPr>
          <w:rFonts w:ascii="Arial" w:hAnsi="Arial"/>
          <w:sz w:val="21"/>
          <w:szCs w:val="21"/>
        </w:rPr>
      </w:pPr>
    </w:p>
    <w:p w14:paraId="67F1ED92">
      <w:pPr>
        <w:overflowPunct w:val="0"/>
        <w:spacing w:line="480" w:lineRule="auto"/>
        <w:ind w:firstLine="420" w:firstLineChars="200"/>
        <w:jc w:val="center"/>
        <w:rPr>
          <w:rFonts w:ascii="Arial" w:hAnsi="Arial"/>
          <w:sz w:val="21"/>
          <w:szCs w:val="21"/>
        </w:rPr>
      </w:pPr>
    </w:p>
    <w:p w14:paraId="309C6A42">
      <w:pPr>
        <w:overflowPunct w:val="0"/>
        <w:spacing w:line="480" w:lineRule="auto"/>
        <w:ind w:firstLine="420" w:firstLineChars="200"/>
        <w:jc w:val="center"/>
        <w:rPr>
          <w:rFonts w:ascii="Arial" w:hAnsi="Arial"/>
          <w:sz w:val="21"/>
          <w:szCs w:val="21"/>
        </w:rPr>
      </w:pPr>
    </w:p>
    <w:p w14:paraId="420E258C">
      <w:pPr>
        <w:wordWrap w:val="0"/>
        <w:overflowPunct w:val="0"/>
        <w:spacing w:line="480" w:lineRule="auto"/>
        <w:rPr>
          <w:rFonts w:ascii="Arial" w:hAnsi="Arial"/>
          <w:sz w:val="21"/>
          <w:szCs w:val="21"/>
        </w:rPr>
      </w:pPr>
    </w:p>
    <w:p w14:paraId="2BBBB6D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4DF4A8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475E6A3F">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5E216D5A">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5FB8F375">
            <w:pPr>
              <w:snapToGrid w:val="0"/>
              <w:spacing w:line="240" w:lineRule="exact"/>
              <w:jc w:val="right"/>
              <w:rPr>
                <w:rFonts w:ascii="宋体" w:hAnsi="宋体" w:cs="Arial"/>
                <w:sz w:val="16"/>
                <w:szCs w:val="18"/>
              </w:rPr>
            </w:pPr>
            <w:r>
              <w:rPr>
                <w:rFonts w:ascii="宋体" w:hAnsi="宋体" w:cs="Arial"/>
                <w:sz w:val="16"/>
                <w:szCs w:val="18"/>
              </w:rPr>
              <w:t>估价对象及</w:t>
            </w:r>
          </w:p>
          <w:p w14:paraId="665441AE">
            <w:pPr>
              <w:snapToGrid w:val="0"/>
              <w:spacing w:line="240" w:lineRule="exact"/>
              <w:jc w:val="right"/>
              <w:rPr>
                <w:rFonts w:ascii="宋体" w:hAnsi="宋体" w:cs="Arial"/>
                <w:sz w:val="16"/>
                <w:szCs w:val="18"/>
              </w:rPr>
            </w:pPr>
            <w:r>
              <w:rPr>
                <w:rFonts w:ascii="宋体" w:hAnsi="宋体" w:cs="Arial"/>
                <w:sz w:val="16"/>
                <w:szCs w:val="18"/>
              </w:rPr>
              <w:t>可比实例</w:t>
            </w:r>
          </w:p>
          <w:p w14:paraId="7948B089">
            <w:pPr>
              <w:snapToGrid w:val="0"/>
              <w:spacing w:line="240" w:lineRule="exact"/>
              <w:jc w:val="both"/>
              <w:rPr>
                <w:rFonts w:ascii="宋体" w:hAnsi="宋体" w:cs="Arial"/>
                <w:sz w:val="16"/>
                <w:szCs w:val="18"/>
              </w:rPr>
            </w:pPr>
          </w:p>
          <w:p w14:paraId="3340104F">
            <w:pPr>
              <w:snapToGrid w:val="0"/>
              <w:spacing w:line="240" w:lineRule="exact"/>
              <w:jc w:val="both"/>
              <w:rPr>
                <w:rFonts w:ascii="宋体" w:hAnsi="宋体" w:cs="Arial"/>
                <w:sz w:val="16"/>
                <w:szCs w:val="18"/>
              </w:rPr>
            </w:pPr>
          </w:p>
          <w:p w14:paraId="2D67C697">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5E1E25D1">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1B8775C5">
            <w:pPr>
              <w:snapToGrid w:val="0"/>
              <w:spacing w:line="240" w:lineRule="exact"/>
              <w:jc w:val="both"/>
              <w:rPr>
                <w:rFonts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42C0D761">
            <w:pPr>
              <w:snapToGrid w:val="0"/>
              <w:spacing w:line="240" w:lineRule="exact"/>
              <w:jc w:val="both"/>
              <w:rPr>
                <w:rFonts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46B34584">
            <w:pPr>
              <w:snapToGrid w:val="0"/>
              <w:spacing w:line="240" w:lineRule="exact"/>
              <w:jc w:val="both"/>
              <w:rPr>
                <w:rFonts w:ascii="宋体" w:hAnsi="宋体" w:cs="Arial"/>
                <w:sz w:val="16"/>
                <w:szCs w:val="18"/>
              </w:rPr>
            </w:pPr>
            <w:r>
              <w:rPr>
                <w:rFonts w:ascii="宋体" w:hAnsi="宋体" w:cs="Arial"/>
                <w:sz w:val="16"/>
                <w:szCs w:val="18"/>
              </w:rPr>
              <w:t>可比实例3</w:t>
            </w:r>
          </w:p>
        </w:tc>
        <w:tc>
          <w:tcPr>
            <w:tcW w:w="2030" w:type="pct"/>
            <w:tcBorders>
              <w:top w:val="single" w:color="auto" w:sz="4" w:space="0"/>
              <w:left w:val="nil"/>
              <w:bottom w:val="single" w:color="auto" w:sz="4" w:space="0"/>
              <w:right w:val="single" w:color="auto" w:sz="4" w:space="0"/>
            </w:tcBorders>
            <w:vAlign w:val="center"/>
          </w:tcPr>
          <w:p w14:paraId="2284A27E">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5DC0FC74">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2EE9762B">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393D0A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531" w:type="pct"/>
            <w:tcBorders>
              <w:top w:val="nil"/>
              <w:left w:val="nil"/>
              <w:bottom w:val="single" w:color="auto" w:sz="4" w:space="0"/>
              <w:right w:val="single" w:color="auto" w:sz="4" w:space="0"/>
            </w:tcBorders>
            <w:vAlign w:val="center"/>
          </w:tcPr>
          <w:p w14:paraId="07913AB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531" w:type="pct"/>
            <w:tcBorders>
              <w:top w:val="nil"/>
              <w:left w:val="nil"/>
              <w:bottom w:val="single" w:color="auto" w:sz="4" w:space="0"/>
              <w:right w:val="single" w:color="auto" w:sz="4" w:space="0"/>
            </w:tcBorders>
            <w:vAlign w:val="center"/>
          </w:tcPr>
          <w:p w14:paraId="312323D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531" w:type="pct"/>
            <w:tcBorders>
              <w:top w:val="nil"/>
              <w:left w:val="nil"/>
              <w:bottom w:val="single" w:color="auto" w:sz="4" w:space="0"/>
              <w:right w:val="single" w:color="auto" w:sz="4" w:space="0"/>
            </w:tcBorders>
            <w:vAlign w:val="center"/>
          </w:tcPr>
          <w:p w14:paraId="62D4AFD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c>
          <w:tcPr>
            <w:tcW w:w="2030" w:type="pct"/>
            <w:tcBorders>
              <w:top w:val="nil"/>
              <w:left w:val="nil"/>
              <w:bottom w:val="single" w:color="auto" w:sz="4" w:space="0"/>
              <w:right w:val="single" w:color="auto" w:sz="4" w:space="0"/>
            </w:tcBorders>
            <w:vAlign w:val="center"/>
          </w:tcPr>
          <w:p w14:paraId="5F03E2D9">
            <w:pPr>
              <w:snapToGrid w:val="0"/>
              <w:spacing w:line="240" w:lineRule="exact"/>
              <w:jc w:val="both"/>
              <w:rPr>
                <w:rFonts w:ascii="宋体" w:hAnsi="宋体" w:cs="Arial"/>
                <w:sz w:val="16"/>
                <w:szCs w:val="18"/>
              </w:rPr>
            </w:pPr>
            <w:r>
              <w:rPr>
                <w:rFonts w:ascii="宋体" w:hAnsi="宋体" w:cs="Arial"/>
                <w:sz w:val="16"/>
                <w:szCs w:val="18"/>
              </w:rPr>
              <w:t>——</w:t>
            </w:r>
          </w:p>
        </w:tc>
      </w:tr>
      <w:tr w14:paraId="658EA869">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3DD3F9D5">
            <w:pPr>
              <w:snapToGrid w:val="0"/>
              <w:spacing w:line="240" w:lineRule="exact"/>
              <w:jc w:val="both"/>
              <w:rPr>
                <w:rFonts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61105823">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974" w:type="dxa"/>
            <w:tcBorders>
              <w:top w:val="nil"/>
              <w:left w:val="nil"/>
              <w:bottom w:val="single" w:color="auto" w:sz="4" w:space="0"/>
              <w:right w:val="single" w:color="auto" w:sz="4" w:space="0"/>
            </w:tcBorders>
            <w:noWrap/>
            <w:vAlign w:val="center"/>
          </w:tcPr>
          <w:p w14:paraId="2FE52547">
            <w:pPr>
              <w:autoSpaceDE w:val="0"/>
              <w:autoSpaceDN w:val="0"/>
              <w:spacing w:line="240" w:lineRule="exact"/>
              <w:textAlignment w:val="bottom"/>
              <w:rPr>
                <w:rFonts w:ascii="Arial" w:hAnsi="Arial" w:cs="Arial"/>
                <w:sz w:val="16"/>
                <w:szCs w:val="18"/>
              </w:rPr>
            </w:pPr>
            <w:r>
              <w:rPr>
                <w:rFonts w:hint="eastAsia" w:ascii="Arial" w:hAnsi="Arial" w:cs="Arial"/>
                <w:sz w:val="16"/>
                <w:szCs w:val="18"/>
              </w:rPr>
              <w:t>20.27</w:t>
            </w:r>
          </w:p>
        </w:tc>
        <w:tc>
          <w:tcPr>
            <w:tcW w:w="974" w:type="dxa"/>
            <w:tcBorders>
              <w:top w:val="nil"/>
              <w:left w:val="nil"/>
              <w:bottom w:val="single" w:color="auto" w:sz="4" w:space="0"/>
              <w:right w:val="single" w:color="auto" w:sz="4" w:space="0"/>
            </w:tcBorders>
            <w:noWrap/>
            <w:vAlign w:val="center"/>
          </w:tcPr>
          <w:p w14:paraId="44F544F6">
            <w:pPr>
              <w:autoSpaceDE w:val="0"/>
              <w:autoSpaceDN w:val="0"/>
              <w:spacing w:line="240" w:lineRule="exact"/>
              <w:textAlignment w:val="bottom"/>
              <w:rPr>
                <w:rFonts w:ascii="Arial" w:hAnsi="Arial" w:cs="Arial"/>
                <w:sz w:val="16"/>
                <w:szCs w:val="18"/>
              </w:rPr>
            </w:pPr>
            <w:r>
              <w:rPr>
                <w:rFonts w:hint="eastAsia" w:ascii="Arial" w:hAnsi="Arial" w:cs="Arial"/>
                <w:sz w:val="16"/>
                <w:szCs w:val="18"/>
              </w:rPr>
              <w:t>19.38</w:t>
            </w:r>
          </w:p>
        </w:tc>
        <w:tc>
          <w:tcPr>
            <w:tcW w:w="974" w:type="dxa"/>
            <w:tcBorders>
              <w:top w:val="nil"/>
              <w:left w:val="nil"/>
              <w:bottom w:val="single" w:color="auto" w:sz="4" w:space="0"/>
              <w:right w:val="single" w:color="auto" w:sz="4" w:space="0"/>
            </w:tcBorders>
            <w:noWrap/>
            <w:vAlign w:val="center"/>
          </w:tcPr>
          <w:p w14:paraId="6C8ED44C">
            <w:pPr>
              <w:autoSpaceDE w:val="0"/>
              <w:autoSpaceDN w:val="0"/>
              <w:spacing w:line="240" w:lineRule="exact"/>
              <w:textAlignment w:val="bottom"/>
              <w:rPr>
                <w:rFonts w:ascii="Arial" w:hAnsi="Arial" w:cs="Arial"/>
                <w:sz w:val="16"/>
                <w:szCs w:val="18"/>
              </w:rPr>
            </w:pPr>
            <w:r>
              <w:rPr>
                <w:rFonts w:hint="eastAsia" w:ascii="Arial" w:hAnsi="Arial" w:cs="Arial"/>
                <w:sz w:val="16"/>
                <w:szCs w:val="18"/>
              </w:rPr>
              <w:t>18.83</w:t>
            </w:r>
          </w:p>
        </w:tc>
        <w:tc>
          <w:tcPr>
            <w:tcW w:w="2030" w:type="pct"/>
            <w:tcBorders>
              <w:top w:val="nil"/>
              <w:left w:val="nil"/>
              <w:bottom w:val="single" w:color="auto" w:sz="4" w:space="0"/>
              <w:right w:val="single" w:color="auto" w:sz="4" w:space="0"/>
            </w:tcBorders>
            <w:vAlign w:val="center"/>
          </w:tcPr>
          <w:p w14:paraId="70675728">
            <w:pPr>
              <w:snapToGrid w:val="0"/>
              <w:spacing w:line="240" w:lineRule="exact"/>
              <w:jc w:val="both"/>
              <w:rPr>
                <w:rFonts w:ascii="宋体" w:hAnsi="宋体" w:cs="Arial"/>
                <w:sz w:val="16"/>
                <w:szCs w:val="18"/>
              </w:rPr>
            </w:pPr>
            <w:r>
              <w:rPr>
                <w:rFonts w:ascii="宋体" w:hAnsi="宋体" w:cs="Arial"/>
                <w:sz w:val="16"/>
                <w:szCs w:val="18"/>
              </w:rPr>
              <w:t>——</w:t>
            </w:r>
          </w:p>
        </w:tc>
      </w:tr>
      <w:tr w14:paraId="5AE89176">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2B3F30B4">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248BA5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1449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CEEF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434CA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5C0CB0F">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7DA51625">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18174CEF">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29DD81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89C1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DA4F1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FFB34C">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3EB7E5E">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2280ED27">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05D6F53">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4BDC74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8B34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570B8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14266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11BD9D7">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78EB7B21">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57A7A661">
            <w:pPr>
              <w:snapToGrid w:val="0"/>
              <w:spacing w:line="240" w:lineRule="exact"/>
              <w:jc w:val="both"/>
              <w:rPr>
                <w:rFonts w:ascii="宋体" w:hAnsi="宋体" w:cs="Arial"/>
                <w:sz w:val="16"/>
                <w:szCs w:val="18"/>
              </w:rPr>
            </w:pPr>
            <w:r>
              <w:rPr>
                <w:rFonts w:ascii="宋体" w:hAnsi="宋体" w:cs="Arial"/>
                <w:sz w:val="16"/>
                <w:szCs w:val="18"/>
              </w:rPr>
              <w:t>区域</w:t>
            </w:r>
          </w:p>
          <w:p w14:paraId="0CC6A21A">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3C1A584">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331E80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6375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E5E6A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E0DF44">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C0AC348">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7E6C791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471E54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4DD036">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5E71A0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6B0A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D206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DCAA63">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B2A367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F630086">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C35613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880C827">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206DC2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A9B3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ED37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A58B43">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2741F80">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5BF885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D1D6F2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46060EA">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67FB3B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AC26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6E213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27F4A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292E1EB">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5B4419B">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F3775E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3AC9B92">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304D98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8D14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86EA4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3872EA">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2FA9F6B">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015BFF7E">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C6C61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5DD71E4">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73C9FE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FED3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F1A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9BDEC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D0D07FB">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18126964">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695512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A4AA1D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0AF9E4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365B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AA55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8C375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C524FEA">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6098782">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0C3792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A2AAC17">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124628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53EF7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BEFE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A114D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66E4C25">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5292927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C4B738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727DD8E">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E26E9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A0581E">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05</w:t>
            </w:r>
          </w:p>
        </w:tc>
        <w:tc>
          <w:tcPr>
            <w:tcW w:w="531" w:type="pct"/>
            <w:tcBorders>
              <w:top w:val="nil"/>
              <w:left w:val="nil"/>
              <w:bottom w:val="single" w:color="auto" w:sz="4" w:space="0"/>
              <w:right w:val="single" w:color="auto" w:sz="4" w:space="0"/>
            </w:tcBorders>
            <w:noWrap/>
            <w:vAlign w:val="center"/>
          </w:tcPr>
          <w:p w14:paraId="50B376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98CB7C">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55EF9A0">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105</w:t>
            </w:r>
            <w:r>
              <w:rPr>
                <w:rFonts w:ascii="Arial" w:hAnsi="Arial" w:cs="Arial"/>
                <w:sz w:val="16"/>
                <w:szCs w:val="18"/>
              </w:rPr>
              <w:t>、</w:t>
            </w:r>
            <w:r>
              <w:rPr>
                <w:rFonts w:hint="eastAsia" w:ascii="Arial" w:hAnsi="Arial" w:cs="Arial"/>
                <w:sz w:val="16"/>
                <w:szCs w:val="18"/>
              </w:rPr>
              <w:t>100</w:t>
            </w:r>
            <w:r>
              <w:rPr>
                <w:rFonts w:ascii="Arial" w:hAnsi="Arial" w:cs="Arial"/>
                <w:sz w:val="16"/>
                <w:szCs w:val="18"/>
              </w:rPr>
              <w:t>、100；</w:t>
            </w:r>
          </w:p>
        </w:tc>
      </w:tr>
      <w:tr w14:paraId="4089BED5">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D4C611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8B8149F">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3FB65B3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06B079">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02E65722">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75937098">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E3B8108">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99</w:t>
            </w:r>
            <w:r>
              <w:rPr>
                <w:rFonts w:ascii="Arial" w:hAnsi="Arial" w:cs="Arial"/>
                <w:sz w:val="16"/>
                <w:szCs w:val="18"/>
              </w:rPr>
              <w:t>、100；</w:t>
            </w:r>
          </w:p>
        </w:tc>
      </w:tr>
      <w:tr w14:paraId="24E8E843">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386DAF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8022B5">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F5B37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14D538">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331867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1A22FD">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71F407D">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28727F23">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7B695893">
            <w:pPr>
              <w:snapToGrid w:val="0"/>
              <w:spacing w:line="240" w:lineRule="exact"/>
              <w:jc w:val="both"/>
              <w:rPr>
                <w:rFonts w:ascii="宋体" w:hAnsi="宋体" w:cs="Arial"/>
                <w:sz w:val="16"/>
                <w:szCs w:val="18"/>
              </w:rPr>
            </w:pPr>
            <w:r>
              <w:rPr>
                <w:rFonts w:ascii="宋体" w:hAnsi="宋体" w:cs="Arial"/>
                <w:sz w:val="16"/>
                <w:szCs w:val="18"/>
              </w:rPr>
              <w:t>实物</w:t>
            </w:r>
          </w:p>
          <w:p w14:paraId="22AF4455">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ECD06F9">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5C7BFDA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F015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6AA6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63283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5DFC64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w:t>
            </w:r>
            <w:r>
              <w:rPr>
                <w:rFonts w:ascii="Arial" w:hAnsi="Arial" w:cs="Arial"/>
                <w:sz w:val="16"/>
                <w:szCs w:val="18"/>
              </w:rPr>
              <w:t>00；</w:t>
            </w:r>
          </w:p>
        </w:tc>
      </w:tr>
      <w:tr w14:paraId="615D101D">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89256B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6A621A3">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8C1362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EE3D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8E98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4095E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757BE8D">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100，每级相差2分，确定可比实例1、2、3该因素指数分别为100、100、100；</w:t>
            </w:r>
          </w:p>
        </w:tc>
      </w:tr>
      <w:tr w14:paraId="45EDA66A">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CECC23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5D7994A">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1963699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B029C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0D870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1F9F3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95D0BC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2C907672">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E7F5E6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603D6DE">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2E60DB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7B6DE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73BA2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B67D7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C2CB6D2">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51B9EED">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DC4117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66914D">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B291F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ABC7D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D8ADC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F1DD0D">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BE322C7">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7A6A3246">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A02B11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DB41AE0">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F6F27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05410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CD4BD3">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6768D1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4E01A266">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100、98、98</w:t>
            </w:r>
            <w:r>
              <w:rPr>
                <w:rFonts w:ascii="Arial" w:hAnsi="Arial" w:cs="Arial"/>
                <w:sz w:val="16"/>
                <w:szCs w:val="18"/>
              </w:rPr>
              <w:t>；</w:t>
            </w:r>
          </w:p>
        </w:tc>
      </w:tr>
      <w:tr w14:paraId="1DBC64D2">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8EA4E0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EC9ED2">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2218B6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02DB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733AE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64F82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2A122DE">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491045D">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E2D45B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0CA58FF">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4E42EA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A872E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0BF1A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13E6F8F">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4A292ED9">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w:t>
            </w:r>
            <w:r>
              <w:rPr>
                <w:rFonts w:ascii="Arial" w:hAnsi="Arial" w:cs="Arial"/>
                <w:sz w:val="16"/>
                <w:szCs w:val="18"/>
              </w:rPr>
              <w:t>9</w:t>
            </w:r>
            <w:r>
              <w:rPr>
                <w:rFonts w:hint="eastAsia" w:ascii="Arial" w:hAnsi="Arial" w:cs="Arial"/>
                <w:sz w:val="16"/>
                <w:szCs w:val="18"/>
              </w:rPr>
              <w:t>8、98</w:t>
            </w:r>
            <w:r>
              <w:rPr>
                <w:rFonts w:ascii="Arial" w:hAnsi="Arial" w:cs="Arial"/>
                <w:sz w:val="16"/>
                <w:szCs w:val="18"/>
              </w:rPr>
              <w:t>；</w:t>
            </w:r>
          </w:p>
        </w:tc>
      </w:tr>
      <w:tr w14:paraId="6FCCCABE">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090A50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5868375">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47C99E4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CC39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E8374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D89C4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93D6ABC">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084AE36E">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786057D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5E71F36A">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0A43A0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B219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9DD9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E4476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F245E6D">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CE9C130">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BD663F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D9E6C07">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C17BA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C8D9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E550D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38D95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43C2EB5">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2C2F12B">
      <w:pPr>
        <w:wordWrap w:val="0"/>
        <w:overflowPunct w:val="0"/>
        <w:spacing w:line="480" w:lineRule="auto"/>
        <w:rPr>
          <w:rFonts w:ascii="Arial" w:hAnsi="Arial"/>
          <w:sz w:val="21"/>
          <w:szCs w:val="21"/>
        </w:rPr>
      </w:pPr>
    </w:p>
    <w:p w14:paraId="3CDA3FC5">
      <w:pPr>
        <w:wordWrap w:val="0"/>
        <w:overflowPunct w:val="0"/>
        <w:spacing w:line="480" w:lineRule="auto"/>
        <w:rPr>
          <w:rFonts w:ascii="Arial" w:hAnsi="Arial"/>
          <w:sz w:val="21"/>
          <w:szCs w:val="21"/>
        </w:rPr>
      </w:pPr>
    </w:p>
    <w:p w14:paraId="4F1845C6">
      <w:pPr>
        <w:rPr>
          <w:rFonts w:ascii="Arial" w:hAnsi="Arial"/>
          <w:sz w:val="21"/>
          <w:szCs w:val="21"/>
        </w:rPr>
      </w:pPr>
      <w:r>
        <w:rPr>
          <w:rFonts w:hint="eastAsia" w:ascii="Arial" w:hAnsi="Arial"/>
          <w:sz w:val="21"/>
          <w:szCs w:val="21"/>
        </w:rPr>
        <w:br w:type="page"/>
      </w:r>
    </w:p>
    <w:p w14:paraId="2F4FF4CA">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4432841E">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1DA0813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5B0D431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46F3E43">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28F600A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653752B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63F392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7561ACB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542558C">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2FD02FF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897" w:type="pct"/>
            <w:tcBorders>
              <w:top w:val="nil"/>
              <w:left w:val="nil"/>
              <w:bottom w:val="single" w:color="auto" w:sz="4" w:space="0"/>
              <w:right w:val="single" w:color="auto" w:sz="4" w:space="0"/>
            </w:tcBorders>
            <w:vAlign w:val="center"/>
          </w:tcPr>
          <w:p w14:paraId="3D0AF24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897" w:type="pct"/>
            <w:tcBorders>
              <w:top w:val="nil"/>
              <w:left w:val="nil"/>
              <w:bottom w:val="single" w:color="auto" w:sz="4" w:space="0"/>
              <w:right w:val="single" w:color="auto" w:sz="4" w:space="0"/>
            </w:tcBorders>
            <w:vAlign w:val="center"/>
          </w:tcPr>
          <w:p w14:paraId="19CCA71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780C4A5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00DCBA3">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667" w:type="dxa"/>
            <w:tcBorders>
              <w:top w:val="nil"/>
              <w:left w:val="nil"/>
              <w:bottom w:val="single" w:color="auto" w:sz="4" w:space="0"/>
              <w:right w:val="single" w:color="auto" w:sz="4" w:space="0"/>
            </w:tcBorders>
            <w:vAlign w:val="center"/>
          </w:tcPr>
          <w:p w14:paraId="0B4EC87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666" w:type="dxa"/>
            <w:tcBorders>
              <w:top w:val="nil"/>
              <w:left w:val="nil"/>
              <w:bottom w:val="single" w:color="auto" w:sz="4" w:space="0"/>
              <w:right w:val="single" w:color="auto" w:sz="4" w:space="0"/>
            </w:tcBorders>
            <w:vAlign w:val="center"/>
          </w:tcPr>
          <w:p w14:paraId="68BCC8F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666" w:type="dxa"/>
            <w:tcBorders>
              <w:top w:val="nil"/>
              <w:left w:val="nil"/>
              <w:bottom w:val="single" w:color="auto" w:sz="4" w:space="0"/>
              <w:right w:val="single" w:color="auto" w:sz="4" w:space="0"/>
            </w:tcBorders>
            <w:vAlign w:val="center"/>
          </w:tcPr>
          <w:p w14:paraId="132A87E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6694AD1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F2E8818">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11382E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402C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2D13F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8653B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271E91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34AC21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2387C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CEA900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52D15C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006B732">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6C84E4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656E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3D85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2B1A6D">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3A24C592">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56A5E30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49D514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F7D3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CADEEC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D27889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A6F91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6A68D6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4AC373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34C60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0218BE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3B8DD8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271A7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CEB359E">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1ADC8E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666E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5561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BB99E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CC21C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F056B74">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2869A1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4A479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290D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08E40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0BBCF2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05E64D2">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5042FA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EA1D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F9248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18AFE6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E69C19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3F3801A">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0F75595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C908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D3B6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354E57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6F794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0135372">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0DAAD1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2C573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03BC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AD1E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3CD49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792532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61F808D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F0C9E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F578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69928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4987D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B70714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758BEC9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897" w:type="pct"/>
            <w:tcBorders>
              <w:top w:val="nil"/>
              <w:left w:val="nil"/>
              <w:bottom w:val="single" w:color="auto" w:sz="4" w:space="0"/>
              <w:right w:val="single" w:color="auto" w:sz="4" w:space="0"/>
            </w:tcBorders>
            <w:vAlign w:val="center"/>
          </w:tcPr>
          <w:p w14:paraId="6621AA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E60C5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CFA05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037875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8BEB756">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1684609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4DE5A42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3223C91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167DE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005360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86B94A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6DDECD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03174A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0BCE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20883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413565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425ACCED">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27BC59D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E303D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14EF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EE33E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01B2E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52BFC74">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0FBE98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AE9D4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39862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4AF624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F78D30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4807D8D">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3A370D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FE4C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51CD6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6FF6E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E79EE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56398BB">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50505A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9FF735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51991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1704EB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4670B4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9C79A1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0E4D5A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ED25C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D764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8C6158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27868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DAFDCD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416DFA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AF23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38E615D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6DF0922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8BCD86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31788C2">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007234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9BFD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D5F3C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D7D514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E23D29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FBB9C02">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72C8EC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9F86F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072E956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310BDDE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6FF0A5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BAA250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79FFF2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468F81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89846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B3766D">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2B08ED21">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4F85BA81">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6B3A33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D65A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DA2C7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1FCBC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D98C5B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C540355">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AB3629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40CD5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6CE3E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43DC8F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75FF31E">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171FFB0A">
            <w:pPr>
              <w:spacing w:line="240" w:lineRule="auto"/>
              <w:jc w:val="center"/>
              <w:rPr>
                <w:rFonts w:ascii="Arial" w:hAnsi="Arial" w:cs="Arial"/>
                <w:sz w:val="16"/>
                <w:szCs w:val="18"/>
              </w:rPr>
            </w:pPr>
            <w:r>
              <w:rPr>
                <w:rFonts w:hint="eastAsia" w:ascii="Arial" w:hAnsi="Arial" w:cs="Arial"/>
                <w:sz w:val="16"/>
                <w:szCs w:val="18"/>
              </w:rPr>
              <w:t>0.9717</w:t>
            </w:r>
          </w:p>
        </w:tc>
        <w:tc>
          <w:tcPr>
            <w:tcW w:w="897" w:type="pct"/>
            <w:tcBorders>
              <w:top w:val="single" w:color="auto" w:sz="4" w:space="0"/>
              <w:left w:val="nil"/>
              <w:bottom w:val="single" w:color="auto" w:sz="4" w:space="0"/>
              <w:right w:val="single" w:color="auto" w:sz="4" w:space="0"/>
            </w:tcBorders>
            <w:vAlign w:val="center"/>
          </w:tcPr>
          <w:p w14:paraId="0FC6C61B">
            <w:pPr>
              <w:spacing w:line="240" w:lineRule="auto"/>
              <w:jc w:val="center"/>
              <w:rPr>
                <w:rFonts w:ascii="Arial" w:hAnsi="Arial" w:cs="Arial"/>
                <w:sz w:val="16"/>
                <w:szCs w:val="18"/>
              </w:rPr>
            </w:pPr>
            <w:r>
              <w:rPr>
                <w:rFonts w:hint="eastAsia" w:ascii="Arial" w:hAnsi="Arial" w:cs="Arial"/>
                <w:sz w:val="16"/>
                <w:szCs w:val="18"/>
              </w:rPr>
              <w:t>1.0518</w:t>
            </w:r>
          </w:p>
        </w:tc>
        <w:tc>
          <w:tcPr>
            <w:tcW w:w="897" w:type="pct"/>
            <w:tcBorders>
              <w:top w:val="single" w:color="auto" w:sz="4" w:space="0"/>
              <w:left w:val="nil"/>
              <w:bottom w:val="single" w:color="auto" w:sz="4" w:space="0"/>
              <w:right w:val="single" w:color="auto" w:sz="4" w:space="0"/>
            </w:tcBorders>
            <w:vAlign w:val="center"/>
          </w:tcPr>
          <w:p w14:paraId="50636D0D">
            <w:pPr>
              <w:spacing w:line="240" w:lineRule="auto"/>
              <w:jc w:val="center"/>
              <w:rPr>
                <w:rFonts w:ascii="Arial" w:hAnsi="Arial" w:cs="Arial"/>
                <w:sz w:val="16"/>
                <w:szCs w:val="18"/>
              </w:rPr>
            </w:pPr>
            <w:r>
              <w:rPr>
                <w:rFonts w:hint="eastAsia" w:ascii="Arial" w:hAnsi="Arial" w:cs="Arial"/>
                <w:sz w:val="16"/>
                <w:szCs w:val="18"/>
              </w:rPr>
              <w:t>1.0412</w:t>
            </w:r>
          </w:p>
        </w:tc>
      </w:tr>
      <w:tr w14:paraId="78B5053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5AC3EE4">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CD3BA33">
            <w:pPr>
              <w:spacing w:line="240" w:lineRule="auto"/>
              <w:jc w:val="center"/>
              <w:rPr>
                <w:rFonts w:ascii="Arial" w:hAnsi="Arial" w:cs="Arial"/>
                <w:sz w:val="16"/>
                <w:szCs w:val="18"/>
              </w:rPr>
            </w:pPr>
            <w:r>
              <w:rPr>
                <w:rFonts w:hint="eastAsia" w:ascii="Arial" w:hAnsi="Arial" w:cs="Arial"/>
                <w:sz w:val="16"/>
                <w:szCs w:val="18"/>
              </w:rPr>
              <w:t>19.70</w:t>
            </w:r>
          </w:p>
        </w:tc>
        <w:tc>
          <w:tcPr>
            <w:tcW w:w="897" w:type="pct"/>
            <w:tcBorders>
              <w:top w:val="single" w:color="auto" w:sz="4" w:space="0"/>
              <w:left w:val="nil"/>
              <w:bottom w:val="single" w:color="auto" w:sz="4" w:space="0"/>
              <w:right w:val="single" w:color="auto" w:sz="4" w:space="0"/>
            </w:tcBorders>
            <w:vAlign w:val="center"/>
          </w:tcPr>
          <w:p w14:paraId="39497F31">
            <w:pPr>
              <w:spacing w:line="240" w:lineRule="auto"/>
              <w:jc w:val="center"/>
              <w:rPr>
                <w:rFonts w:ascii="Arial" w:hAnsi="Arial" w:cs="Arial"/>
                <w:sz w:val="16"/>
                <w:szCs w:val="18"/>
              </w:rPr>
            </w:pPr>
            <w:r>
              <w:rPr>
                <w:rFonts w:hint="eastAsia" w:ascii="Arial" w:hAnsi="Arial" w:cs="Arial"/>
                <w:sz w:val="16"/>
                <w:szCs w:val="18"/>
              </w:rPr>
              <w:t>20.38</w:t>
            </w:r>
          </w:p>
        </w:tc>
        <w:tc>
          <w:tcPr>
            <w:tcW w:w="897" w:type="pct"/>
            <w:tcBorders>
              <w:top w:val="single" w:color="auto" w:sz="4" w:space="0"/>
              <w:left w:val="nil"/>
              <w:bottom w:val="single" w:color="auto" w:sz="4" w:space="0"/>
              <w:right w:val="single" w:color="auto" w:sz="4" w:space="0"/>
            </w:tcBorders>
            <w:vAlign w:val="center"/>
          </w:tcPr>
          <w:p w14:paraId="37B925AB">
            <w:pPr>
              <w:spacing w:line="240" w:lineRule="auto"/>
              <w:jc w:val="center"/>
              <w:rPr>
                <w:rFonts w:ascii="Arial" w:hAnsi="Arial" w:cs="Arial"/>
                <w:sz w:val="16"/>
                <w:szCs w:val="18"/>
              </w:rPr>
            </w:pPr>
            <w:r>
              <w:rPr>
                <w:rFonts w:hint="eastAsia" w:ascii="Arial" w:hAnsi="Arial" w:cs="Arial"/>
                <w:sz w:val="16"/>
                <w:szCs w:val="18"/>
              </w:rPr>
              <w:t>19.61</w:t>
            </w:r>
          </w:p>
        </w:tc>
      </w:tr>
    </w:tbl>
    <w:p w14:paraId="08358629">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62ECA03A">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08AB527C">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3648C4E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＝（19.70+20.38+19.61）÷</w:t>
      </w:r>
      <w:r>
        <w:rPr>
          <w:rFonts w:ascii="Arial" w:hAnsi="Arial"/>
          <w:sz w:val="21"/>
          <w:szCs w:val="21"/>
        </w:rPr>
        <w:t>3</w:t>
      </w:r>
      <w:r>
        <w:rPr>
          <w:rFonts w:hint="eastAsia" w:ascii="Arial" w:hAnsi="Arial"/>
          <w:sz w:val="21"/>
          <w:szCs w:val="21"/>
        </w:rPr>
        <w:t>+1.56</w:t>
      </w:r>
    </w:p>
    <w:p w14:paraId="68F70C2A">
      <w:pPr>
        <w:wordWrap w:val="0"/>
        <w:overflowPunct w:val="0"/>
        <w:spacing w:line="480" w:lineRule="auto"/>
        <w:ind w:firstLine="3360" w:firstLineChars="1600"/>
        <w:rPr>
          <w:rFonts w:ascii="Arial" w:hAnsi="Arial"/>
          <w:sz w:val="21"/>
          <w:szCs w:val="21"/>
        </w:rPr>
      </w:pPr>
      <w:r>
        <w:rPr>
          <w:rFonts w:hint="eastAsia" w:ascii="Arial" w:hAnsi="Arial"/>
          <w:sz w:val="21"/>
          <w:szCs w:val="21"/>
        </w:rPr>
        <w:t>＝19.90+1.56</w:t>
      </w:r>
    </w:p>
    <w:p w14:paraId="1B9422E3">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＝21.46（元/平方米·月）</w:t>
      </w:r>
      <w:r>
        <w:rPr>
          <w:rFonts w:hint="eastAsia" w:ascii="宋体" w:hAnsi="宋体"/>
          <w:sz w:val="21"/>
          <w:szCs w:val="21"/>
        </w:rPr>
        <w:t>（含物业费、不含取暖费）</w:t>
      </w:r>
    </w:p>
    <w:p w14:paraId="093F896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w:t>
      </w:r>
      <w:r>
        <w:rPr>
          <w:rFonts w:ascii="Arial" w:hAnsi="Arial" w:cs="Arial"/>
          <w:b/>
          <w:sz w:val="21"/>
          <w:szCs w:val="21"/>
        </w:rPr>
        <w:t>2</w:t>
      </w:r>
      <w:r>
        <w:rPr>
          <w:rFonts w:hint="eastAsia" w:ascii="Arial" w:hAnsi="Arial" w:cs="Arial"/>
          <w:b/>
          <w:sz w:val="21"/>
          <w:szCs w:val="21"/>
        </w:rPr>
        <w:t>（两</w:t>
      </w:r>
      <w:r>
        <w:rPr>
          <w:rFonts w:hint="eastAsia" w:ascii="宋体" w:hAnsi="宋体"/>
          <w:b/>
          <w:sz w:val="21"/>
          <w:szCs w:val="21"/>
        </w:rPr>
        <w:t>居室标准房市场租金水平）</w:t>
      </w:r>
    </w:p>
    <w:p w14:paraId="47E04A2E">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2EC8132C">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采育镇周边住宅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A9B100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p>
    <w:p w14:paraId="6D3ADE8A">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69651A5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3721D51C">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428D516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2E8D7C0">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206CE37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r>
        <w:rPr>
          <w:rFonts w:hint="eastAsia" w:ascii="Arial" w:hAnsi="Arial" w:cs="Arial"/>
          <w:sz w:val="21"/>
          <w:szCs w:val="21"/>
        </w:rPr>
        <w:t>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4为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94.59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为20.09元/平方米·月（含物业费2.66元/平方米·月、取暖费2.5元/平方米·月）。</w:t>
      </w:r>
    </w:p>
    <w:p w14:paraId="5606A50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5：</w:t>
      </w:r>
    </w:p>
    <w:p w14:paraId="6800969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40674CC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2F8990E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6CA4C81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6429168">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73CC261B">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可比实例5周边有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4为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lang w:val="en-US" w:eastAsia="zh-CN"/>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lang w:val="en-US" w:eastAsia="zh-CN"/>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lang w:val="en-US" w:eastAsia="zh-CN"/>
        </w:rPr>
        <w:t>112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20.98</w:t>
      </w:r>
      <w:r>
        <w:rPr>
          <w:rFonts w:hint="eastAsia" w:ascii="Arial" w:hAnsi="Arial" w:cs="Arial"/>
          <w:sz w:val="21"/>
          <w:szCs w:val="21"/>
        </w:rPr>
        <w:t>元/平方米·月（含物业费</w:t>
      </w:r>
      <w:r>
        <w:rPr>
          <w:rFonts w:hint="eastAsia" w:ascii="Arial" w:hAnsi="Arial" w:cs="Arial"/>
          <w:sz w:val="21"/>
          <w:szCs w:val="21"/>
          <w:lang w:val="en-US" w:eastAsia="zh-CN"/>
        </w:rPr>
        <w:t>1.68</w:t>
      </w:r>
      <w:r>
        <w:rPr>
          <w:rFonts w:hint="eastAsia" w:ascii="Arial" w:hAnsi="Arial" w:cs="Arial"/>
          <w:sz w:val="21"/>
          <w:szCs w:val="21"/>
        </w:rPr>
        <w:t>元/平方米·月、取暖费2.5元/平方米·月）。</w:t>
      </w:r>
    </w:p>
    <w:p w14:paraId="2EFE723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p>
    <w:p w14:paraId="5CA20F7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蓝天花园</w:t>
      </w:r>
    </w:p>
    <w:p w14:paraId="1F6F43C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大兴区育镇街采育文化广场东侧</w:t>
      </w:r>
    </w:p>
    <w:p w14:paraId="662CD3F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4E5B86C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89821DC">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25214DE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r>
        <w:rPr>
          <w:rFonts w:hint="eastAsia" w:ascii="Arial" w:hAnsi="Arial" w:cs="Arial"/>
          <w:sz w:val="21"/>
          <w:szCs w:val="21"/>
        </w:rPr>
        <w:t>周边2公里内有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08</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90.79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为19.83元/平方米·月（含物业费1.46元/平方米·月、取暖费2.5元/平方米·月）</w:t>
      </w:r>
      <w:r>
        <w:rPr>
          <w:rFonts w:ascii="Arial" w:hAnsi="Arial" w:cs="Arial"/>
          <w:sz w:val="21"/>
          <w:szCs w:val="21"/>
        </w:rPr>
        <w:t>。</w:t>
      </w:r>
    </w:p>
    <w:p w14:paraId="1CDD457F">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1F57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B41C0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38AC7C5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507B748A">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可比实例4</w:t>
            </w:r>
          </w:p>
        </w:tc>
        <w:tc>
          <w:tcPr>
            <w:tcW w:w="1812" w:type="dxa"/>
            <w:vAlign w:val="center"/>
          </w:tcPr>
          <w:p w14:paraId="7E9EAB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可比实例5</w:t>
            </w:r>
          </w:p>
        </w:tc>
        <w:tc>
          <w:tcPr>
            <w:tcW w:w="1813" w:type="dxa"/>
            <w:vAlign w:val="center"/>
          </w:tcPr>
          <w:p w14:paraId="33B5AF8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可比实例6</w:t>
            </w:r>
          </w:p>
        </w:tc>
      </w:tr>
      <w:tr w14:paraId="7A56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02E20FA">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282ABEB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3" w:type="dxa"/>
            <w:vAlign w:val="center"/>
          </w:tcPr>
          <w:p w14:paraId="66E2200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1812" w:type="dxa"/>
            <w:vAlign w:val="center"/>
          </w:tcPr>
          <w:p w14:paraId="73D0777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13" w:type="dxa"/>
            <w:vAlign w:val="center"/>
          </w:tcPr>
          <w:p w14:paraId="47FE45C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0A6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686D4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3" w:type="dxa"/>
            <w:vAlign w:val="center"/>
          </w:tcPr>
          <w:p w14:paraId="351D3C3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2B8F42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20.09</w:t>
            </w:r>
          </w:p>
        </w:tc>
        <w:tc>
          <w:tcPr>
            <w:tcW w:w="1812" w:type="dxa"/>
            <w:vAlign w:val="center"/>
          </w:tcPr>
          <w:p w14:paraId="313760A7">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20.98</w:t>
            </w:r>
          </w:p>
        </w:tc>
        <w:tc>
          <w:tcPr>
            <w:tcW w:w="1813" w:type="dxa"/>
            <w:vAlign w:val="center"/>
          </w:tcPr>
          <w:p w14:paraId="27BD4AC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19.83</w:t>
            </w:r>
          </w:p>
        </w:tc>
      </w:tr>
      <w:tr w14:paraId="15B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C8CF5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487D98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w:t>
            </w:r>
            <w:r>
              <w:rPr>
                <w:rFonts w:hint="eastAsia" w:ascii="Arial" w:hAnsi="Arial" w:cs="Arial"/>
                <w:sz w:val="16"/>
                <w:szCs w:val="18"/>
                <w:lang w:val="en-US" w:eastAsia="zh-CN"/>
              </w:rPr>
              <w:t>同时</w:t>
            </w:r>
            <w:r>
              <w:rPr>
                <w:rFonts w:hint="eastAsia" w:ascii="Arial" w:hAnsi="Arial" w:cs="Arial"/>
                <w:sz w:val="16"/>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7FDDE6C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7B41508F">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3" w:type="dxa"/>
            <w:vAlign w:val="center"/>
          </w:tcPr>
          <w:p w14:paraId="50E79F2F">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4AF7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CC07FE6">
            <w:pPr>
              <w:pStyle w:val="61"/>
              <w:autoSpaceDE w:val="0"/>
              <w:autoSpaceDN w:val="0"/>
              <w:spacing w:line="240" w:lineRule="exact"/>
              <w:textAlignment w:val="bottom"/>
              <w:rPr>
                <w:rFonts w:ascii="Arial" w:hAnsi="Arial" w:cs="Arial"/>
                <w:sz w:val="16"/>
                <w:szCs w:val="18"/>
              </w:rPr>
            </w:pPr>
          </w:p>
        </w:tc>
        <w:tc>
          <w:tcPr>
            <w:tcW w:w="1813" w:type="dxa"/>
            <w:vAlign w:val="center"/>
          </w:tcPr>
          <w:p w14:paraId="0C7B72F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3" w:type="dxa"/>
            <w:vAlign w:val="center"/>
          </w:tcPr>
          <w:p w14:paraId="62DC915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c>
          <w:tcPr>
            <w:tcW w:w="1812" w:type="dxa"/>
            <w:vAlign w:val="center"/>
          </w:tcPr>
          <w:p w14:paraId="44DF21C9">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4.18</w:t>
            </w:r>
          </w:p>
        </w:tc>
        <w:tc>
          <w:tcPr>
            <w:tcW w:w="1813" w:type="dxa"/>
            <w:vAlign w:val="center"/>
          </w:tcPr>
          <w:p w14:paraId="425DF7C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3.96</w:t>
            </w:r>
          </w:p>
        </w:tc>
      </w:tr>
      <w:tr w14:paraId="0CD3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3FA8C3B">
            <w:pPr>
              <w:pStyle w:val="61"/>
              <w:autoSpaceDE w:val="0"/>
              <w:autoSpaceDN w:val="0"/>
              <w:spacing w:line="240" w:lineRule="exact"/>
              <w:textAlignment w:val="bottom"/>
              <w:rPr>
                <w:rFonts w:ascii="Arial" w:hAnsi="Arial" w:cs="Arial"/>
                <w:sz w:val="16"/>
                <w:szCs w:val="18"/>
              </w:rPr>
            </w:pPr>
          </w:p>
        </w:tc>
        <w:tc>
          <w:tcPr>
            <w:tcW w:w="1813" w:type="dxa"/>
            <w:vAlign w:val="center"/>
          </w:tcPr>
          <w:p w14:paraId="4351928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3" w:type="dxa"/>
            <w:vAlign w:val="center"/>
          </w:tcPr>
          <w:p w14:paraId="06C6026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812" w:type="dxa"/>
            <w:vAlign w:val="center"/>
          </w:tcPr>
          <w:p w14:paraId="0D9E53E7">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16.80</w:t>
            </w:r>
          </w:p>
        </w:tc>
        <w:tc>
          <w:tcPr>
            <w:tcW w:w="1813" w:type="dxa"/>
            <w:vAlign w:val="center"/>
          </w:tcPr>
          <w:p w14:paraId="4B1DD7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1D9C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B3D187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0F2F6F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3266402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293311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799DE4D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01A6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990AF27">
            <w:pPr>
              <w:pStyle w:val="61"/>
              <w:autoSpaceDE w:val="0"/>
              <w:autoSpaceDN w:val="0"/>
              <w:spacing w:line="240" w:lineRule="exact"/>
              <w:textAlignment w:val="bottom"/>
              <w:rPr>
                <w:rFonts w:ascii="Arial" w:hAnsi="Arial" w:cs="Arial"/>
                <w:sz w:val="16"/>
                <w:szCs w:val="18"/>
              </w:rPr>
            </w:pPr>
          </w:p>
        </w:tc>
        <w:tc>
          <w:tcPr>
            <w:tcW w:w="1813" w:type="dxa"/>
            <w:vAlign w:val="center"/>
          </w:tcPr>
          <w:p w14:paraId="7E84A29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40135E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6ECD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7FD7E0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D37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B8181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607186D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FEBCD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CDE194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044FBA2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06E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B1991E3">
            <w:pPr>
              <w:pStyle w:val="61"/>
              <w:autoSpaceDE w:val="0"/>
              <w:autoSpaceDN w:val="0"/>
              <w:spacing w:line="240" w:lineRule="exact"/>
              <w:textAlignment w:val="bottom"/>
              <w:rPr>
                <w:rFonts w:ascii="Arial" w:hAnsi="Arial" w:cs="Arial"/>
                <w:sz w:val="16"/>
                <w:szCs w:val="18"/>
              </w:rPr>
            </w:pPr>
          </w:p>
        </w:tc>
        <w:tc>
          <w:tcPr>
            <w:tcW w:w="1813" w:type="dxa"/>
            <w:vAlign w:val="center"/>
          </w:tcPr>
          <w:p w14:paraId="4D67F3F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66ABBE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A5E0E5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48B3F19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C58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B7E0B0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3" w:type="dxa"/>
            <w:vAlign w:val="center"/>
          </w:tcPr>
          <w:p w14:paraId="08B4C83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4CECB65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812" w:type="dxa"/>
            <w:vAlign w:val="center"/>
          </w:tcPr>
          <w:p w14:paraId="2D91E279">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16.80</w:t>
            </w:r>
          </w:p>
        </w:tc>
        <w:tc>
          <w:tcPr>
            <w:tcW w:w="1813" w:type="dxa"/>
            <w:vAlign w:val="center"/>
          </w:tcPr>
          <w:p w14:paraId="04154AC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bl>
    <w:p w14:paraId="3726F8FA">
      <w:pPr>
        <w:wordWrap w:val="0"/>
        <w:overflowPunct w:val="0"/>
        <w:spacing w:line="480" w:lineRule="auto"/>
        <w:rPr>
          <w:rFonts w:ascii="宋体" w:hAnsi="宋体"/>
          <w:sz w:val="21"/>
          <w:szCs w:val="21"/>
        </w:rPr>
      </w:pPr>
    </w:p>
    <w:p w14:paraId="7DED419A">
      <w:pPr>
        <w:wordWrap w:val="0"/>
        <w:overflowPunct w:val="0"/>
        <w:spacing w:line="480" w:lineRule="auto"/>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3ACF1C2">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6A63B0EA">
            <w:pPr>
              <w:jc w:val="center"/>
              <w:rPr>
                <w:rFonts w:ascii="华文细黑" w:hAnsi="华文细黑" w:eastAsia="华文细黑"/>
              </w:rPr>
            </w:pPr>
            <w:r>
              <w:rPr>
                <w:rFonts w:hint="eastAsia" w:ascii="华文细黑" w:hAnsi="华文细黑" w:eastAsia="华文细黑"/>
              </w:rPr>
              <w:t>实例位置</w:t>
            </w:r>
          </w:p>
        </w:tc>
      </w:tr>
      <w:tr w14:paraId="7FA65CD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8210B32">
            <w:pPr>
              <w:jc w:val="center"/>
              <w:rPr>
                <w:rFonts w:ascii="Calibri" w:hAnsi="Calibri"/>
              </w:rPr>
            </w:pPr>
            <w:r>
              <w:drawing>
                <wp:inline distT="0" distB="0" distL="114300" distR="114300">
                  <wp:extent cx="5866765" cy="4048760"/>
                  <wp:effectExtent l="0" t="0" r="635" b="50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3"/>
                          <a:stretch>
                            <a:fillRect/>
                          </a:stretch>
                        </pic:blipFill>
                        <pic:spPr>
                          <a:xfrm>
                            <a:off x="0" y="0"/>
                            <a:ext cx="5866765" cy="4048760"/>
                          </a:xfrm>
                          <a:prstGeom prst="rect">
                            <a:avLst/>
                          </a:prstGeom>
                          <a:noFill/>
                          <a:ln>
                            <a:noFill/>
                          </a:ln>
                        </pic:spPr>
                      </pic:pic>
                    </a:graphicData>
                  </a:graphic>
                </wp:inline>
              </w:drawing>
            </w:r>
          </w:p>
        </w:tc>
      </w:tr>
    </w:tbl>
    <w:p w14:paraId="6DCA2D1A"/>
    <w:p w14:paraId="1D1ED722">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5B5C2709">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283018E3">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8"/>
        <w:gridCol w:w="1446"/>
        <w:gridCol w:w="1844"/>
        <w:gridCol w:w="1844"/>
        <w:gridCol w:w="1844"/>
        <w:gridCol w:w="1849"/>
      </w:tblGrid>
      <w:tr w14:paraId="2A00524F">
        <w:tblPrEx>
          <w:tblCellMar>
            <w:top w:w="0" w:type="dxa"/>
            <w:left w:w="108" w:type="dxa"/>
            <w:bottom w:w="0" w:type="dxa"/>
            <w:right w:w="108" w:type="dxa"/>
          </w:tblCellMar>
        </w:tblPrEx>
        <w:trPr>
          <w:trHeight w:val="397" w:hRule="atLeast"/>
          <w:tblHeader/>
          <w:jc w:val="center"/>
        </w:trPr>
        <w:tc>
          <w:tcPr>
            <w:tcW w:w="1121" w:type="pct"/>
            <w:gridSpan w:val="2"/>
            <w:tcBorders>
              <w:top w:val="single" w:color="auto" w:sz="4" w:space="0"/>
              <w:left w:val="single" w:color="auto" w:sz="4" w:space="0"/>
              <w:bottom w:val="single" w:color="auto" w:sz="4" w:space="0"/>
              <w:right w:val="single" w:color="000000" w:sz="4" w:space="0"/>
            </w:tcBorders>
            <w:vAlign w:val="center"/>
          </w:tcPr>
          <w:p w14:paraId="30CD465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2606102">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341CB83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可比实例4</w:t>
            </w:r>
          </w:p>
        </w:tc>
        <w:tc>
          <w:tcPr>
            <w:tcW w:w="968" w:type="pct"/>
            <w:tcBorders>
              <w:top w:val="single" w:color="auto" w:sz="4" w:space="0"/>
              <w:left w:val="nil"/>
              <w:bottom w:val="single" w:color="auto" w:sz="4" w:space="0"/>
              <w:right w:val="single" w:color="auto" w:sz="4" w:space="0"/>
            </w:tcBorders>
            <w:vAlign w:val="center"/>
          </w:tcPr>
          <w:p w14:paraId="3DD4D85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可比实例5</w:t>
            </w:r>
          </w:p>
        </w:tc>
        <w:tc>
          <w:tcPr>
            <w:tcW w:w="971" w:type="pct"/>
            <w:tcBorders>
              <w:top w:val="single" w:color="auto" w:sz="4" w:space="0"/>
              <w:left w:val="nil"/>
              <w:bottom w:val="single" w:color="auto" w:sz="4" w:space="0"/>
              <w:right w:val="single" w:color="auto" w:sz="4" w:space="0"/>
            </w:tcBorders>
            <w:vAlign w:val="center"/>
          </w:tcPr>
          <w:p w14:paraId="77658069">
            <w:pPr>
              <w:widowControl/>
              <w:adjustRightInd/>
              <w:spacing w:line="240" w:lineRule="auto"/>
              <w:jc w:val="center"/>
              <w:textAlignment w:val="auto"/>
              <w:rPr>
                <w:rFonts w:ascii="Arial" w:hAnsi="Arial" w:cs="Arial"/>
                <w:sz w:val="16"/>
                <w:szCs w:val="18"/>
              </w:rPr>
            </w:pPr>
            <w:r>
              <w:rPr>
                <w:rFonts w:ascii="Arial" w:hAnsi="Arial" w:cs="Arial"/>
                <w:sz w:val="16"/>
                <w:szCs w:val="18"/>
              </w:rPr>
              <w:t>可比案例6</w:t>
            </w:r>
          </w:p>
        </w:tc>
      </w:tr>
      <w:tr w14:paraId="613F9B9C">
        <w:tblPrEx>
          <w:tblCellMar>
            <w:top w:w="0" w:type="dxa"/>
            <w:left w:w="108" w:type="dxa"/>
            <w:bottom w:w="0" w:type="dxa"/>
            <w:right w:w="108" w:type="dxa"/>
          </w:tblCellMar>
        </w:tblPrEx>
        <w:trPr>
          <w:trHeight w:val="397" w:hRule="atLeast"/>
          <w:tblHeader/>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64D3E63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4CE2080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968" w:type="pct"/>
            <w:tcBorders>
              <w:top w:val="nil"/>
              <w:left w:val="nil"/>
              <w:bottom w:val="single" w:color="auto" w:sz="4" w:space="0"/>
              <w:right w:val="single" w:color="auto" w:sz="4" w:space="0"/>
            </w:tcBorders>
            <w:vAlign w:val="center"/>
          </w:tcPr>
          <w:p w14:paraId="387FBDD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968" w:type="pct"/>
            <w:tcBorders>
              <w:top w:val="nil"/>
              <w:left w:val="nil"/>
              <w:bottom w:val="single" w:color="auto" w:sz="4" w:space="0"/>
              <w:right w:val="single" w:color="auto" w:sz="4" w:space="0"/>
            </w:tcBorders>
            <w:vAlign w:val="center"/>
          </w:tcPr>
          <w:p w14:paraId="70B7F027">
            <w:pPr>
              <w:widowControl/>
              <w:snapToGrid w:val="0"/>
              <w:spacing w:line="240" w:lineRule="exact"/>
              <w:jc w:val="center"/>
              <w:textAlignment w:val="center"/>
              <w:rPr>
                <w:rFonts w:hint="eastAsia" w:ascii="Arial" w:hAnsi="Arial" w:eastAsia="宋体" w:cs="Arial"/>
                <w:sz w:val="16"/>
                <w:szCs w:val="18"/>
                <w:lang w:eastAsia="zh-CN"/>
              </w:rPr>
            </w:pPr>
            <w:r>
              <w:rPr>
                <w:rFonts w:hint="eastAsia" w:ascii="Arial" w:hAnsi="Arial" w:eastAsia="宋体" w:cs="Arial"/>
                <w:sz w:val="16"/>
                <w:szCs w:val="18"/>
                <w:lang w:eastAsia="zh-CN"/>
              </w:rPr>
              <w:t>恒盛波尔多小镇南区</w:t>
            </w:r>
          </w:p>
        </w:tc>
        <w:tc>
          <w:tcPr>
            <w:tcW w:w="971" w:type="pct"/>
            <w:tcBorders>
              <w:top w:val="nil"/>
              <w:left w:val="nil"/>
              <w:bottom w:val="single" w:color="auto" w:sz="4" w:space="0"/>
              <w:right w:val="single" w:color="auto" w:sz="4" w:space="0"/>
            </w:tcBorders>
            <w:vAlign w:val="center"/>
          </w:tcPr>
          <w:p w14:paraId="526C117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61224B82">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012519DD">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320B1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442BD6D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968" w:type="pct"/>
            <w:tcBorders>
              <w:top w:val="nil"/>
              <w:left w:val="nil"/>
              <w:bottom w:val="single" w:color="auto" w:sz="4" w:space="0"/>
              <w:right w:val="single" w:color="auto" w:sz="4" w:space="0"/>
            </w:tcBorders>
            <w:vAlign w:val="center"/>
          </w:tcPr>
          <w:p w14:paraId="69788DF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16.80</w:t>
            </w:r>
          </w:p>
        </w:tc>
        <w:tc>
          <w:tcPr>
            <w:tcW w:w="971" w:type="pct"/>
            <w:tcBorders>
              <w:top w:val="nil"/>
              <w:left w:val="nil"/>
              <w:bottom w:val="single" w:color="auto" w:sz="4" w:space="0"/>
              <w:right w:val="single" w:color="auto" w:sz="4" w:space="0"/>
            </w:tcBorders>
            <w:vAlign w:val="center"/>
          </w:tcPr>
          <w:p w14:paraId="1ACE331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7759C03A">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09F455F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F49FE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122CA0C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7EB1D08F">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59CA277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5E5090A2">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1803C3A5">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B86BC6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4AF986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665024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75738D8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5551434">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34BC01B3">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62940AA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4FBAA9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82176A6">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54CDE791">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6972BA81">
        <w:tblPrEx>
          <w:tblCellMar>
            <w:top w:w="0" w:type="dxa"/>
            <w:left w:w="108" w:type="dxa"/>
            <w:bottom w:w="0" w:type="dxa"/>
            <w:right w:w="108" w:type="dxa"/>
          </w:tblCellMar>
        </w:tblPrEx>
        <w:trPr>
          <w:trHeight w:val="397"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751A174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643E7E4A">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3E9B91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589CE9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shd w:val="clear" w:color="auto" w:fill="auto"/>
            <w:vAlign w:val="center"/>
          </w:tcPr>
          <w:p w14:paraId="32E3A80D">
            <w:pPr>
              <w:widowControl/>
              <w:adjustRightInd/>
              <w:spacing w:line="240" w:lineRule="auto"/>
              <w:jc w:val="center"/>
              <w:textAlignment w:val="auto"/>
              <w:rPr>
                <w:rFonts w:ascii="Arial" w:hAnsi="Arial" w:eastAsia="宋体" w:cs="Arial"/>
                <w:sz w:val="16"/>
                <w:szCs w:val="18"/>
                <w:lang w:val="en-US" w:eastAsia="zh-CN" w:bidi="ar-SA"/>
              </w:rPr>
            </w:pPr>
            <w:r>
              <w:rPr>
                <w:rFonts w:hint="eastAsia" w:ascii="宋体" w:hAnsi="宋体" w:cs="Arial"/>
                <w:sz w:val="16"/>
                <w:szCs w:val="18"/>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sz w:val="16"/>
                <w:szCs w:val="18"/>
              </w:rPr>
              <w:t>。</w:t>
            </w:r>
          </w:p>
        </w:tc>
        <w:tc>
          <w:tcPr>
            <w:tcW w:w="971" w:type="pct"/>
            <w:tcBorders>
              <w:top w:val="nil"/>
              <w:left w:val="nil"/>
              <w:bottom w:val="single" w:color="auto" w:sz="4" w:space="0"/>
              <w:right w:val="single" w:color="auto" w:sz="4" w:space="0"/>
            </w:tcBorders>
            <w:vAlign w:val="center"/>
          </w:tcPr>
          <w:p w14:paraId="05388B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rPr>
              <w:t>。</w:t>
            </w:r>
          </w:p>
        </w:tc>
      </w:tr>
      <w:tr w14:paraId="1BA115BC">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6F49881">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94CDAF">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5D6B5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41E233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2D1D32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71" w:type="pct"/>
            <w:tcBorders>
              <w:top w:val="nil"/>
              <w:left w:val="nil"/>
              <w:bottom w:val="single" w:color="auto" w:sz="4" w:space="0"/>
              <w:right w:val="single" w:color="auto" w:sz="4" w:space="0"/>
            </w:tcBorders>
            <w:vAlign w:val="center"/>
          </w:tcPr>
          <w:p w14:paraId="238072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r>
      <w:tr w14:paraId="79F3DA8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DEA35E7">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11CA81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79770E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3D2D63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1442F5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2BD9B87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25BE86F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645DC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40B928B">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4799BF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F865D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1BC8212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57B453D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1B1005F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642E63">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0245166">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C629E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88942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A3ECE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4FB0F68B">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313E017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4066367">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5D479DD">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6685CB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0D03C8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1844" w:type="dxa"/>
            <w:tcBorders>
              <w:top w:val="nil"/>
              <w:left w:val="nil"/>
              <w:bottom w:val="single" w:color="auto" w:sz="4" w:space="0"/>
              <w:right w:val="single" w:color="auto" w:sz="4" w:space="0"/>
            </w:tcBorders>
            <w:vAlign w:val="center"/>
          </w:tcPr>
          <w:p w14:paraId="513290A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w:t>
            </w:r>
            <w:r>
              <w:rPr>
                <w:rFonts w:hint="eastAsia" w:ascii="Arial" w:hAnsi="Arial" w:cs="Arial"/>
                <w:sz w:val="16"/>
                <w:szCs w:val="18"/>
              </w:rPr>
              <w:t>2公里周边有采育公园、凤河等自然景观，自然与人文环境一般。</w:t>
            </w:r>
          </w:p>
        </w:tc>
        <w:tc>
          <w:tcPr>
            <w:tcW w:w="971" w:type="pct"/>
            <w:tcBorders>
              <w:top w:val="nil"/>
              <w:left w:val="nil"/>
              <w:bottom w:val="single" w:color="auto" w:sz="4" w:space="0"/>
              <w:right w:val="single" w:color="auto" w:sz="4" w:space="0"/>
            </w:tcBorders>
            <w:vAlign w:val="center"/>
          </w:tcPr>
          <w:p w14:paraId="4007DD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r>
      <w:tr w14:paraId="3A74DE2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B8B6DC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FA18313">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7D71EC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71E658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1844" w:type="dxa"/>
            <w:tcBorders>
              <w:top w:val="nil"/>
              <w:left w:val="nil"/>
              <w:bottom w:val="single" w:color="auto" w:sz="4" w:space="0"/>
              <w:right w:val="single" w:color="auto" w:sz="4" w:space="0"/>
            </w:tcBorders>
            <w:vAlign w:val="center"/>
          </w:tcPr>
          <w:p w14:paraId="7D75A22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71" w:type="pct"/>
            <w:tcBorders>
              <w:top w:val="nil"/>
              <w:left w:val="nil"/>
              <w:bottom w:val="single" w:color="auto" w:sz="4" w:space="0"/>
              <w:right w:val="single" w:color="auto" w:sz="4" w:space="0"/>
            </w:tcBorders>
            <w:vAlign w:val="center"/>
          </w:tcPr>
          <w:p w14:paraId="73D5731B">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14:paraId="040DDE5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F0DE63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EA454EB">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F79C4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09D3981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1844" w:type="dxa"/>
            <w:tcBorders>
              <w:top w:val="nil"/>
              <w:left w:val="nil"/>
              <w:bottom w:val="single" w:color="auto" w:sz="4" w:space="0"/>
              <w:right w:val="single" w:color="auto" w:sz="4" w:space="0"/>
            </w:tcBorders>
            <w:vAlign w:val="center"/>
          </w:tcPr>
          <w:p w14:paraId="35B3D8F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sz w:val="16"/>
                <w:szCs w:val="18"/>
              </w:rPr>
              <w:t>。</w:t>
            </w:r>
          </w:p>
        </w:tc>
        <w:tc>
          <w:tcPr>
            <w:tcW w:w="971" w:type="pct"/>
            <w:tcBorders>
              <w:top w:val="nil"/>
              <w:left w:val="nil"/>
              <w:bottom w:val="single" w:color="auto" w:sz="4" w:space="0"/>
              <w:right w:val="single" w:color="auto" w:sz="4" w:space="0"/>
            </w:tcBorders>
            <w:vAlign w:val="center"/>
          </w:tcPr>
          <w:p w14:paraId="4F17BD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57A9B7E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CE5E9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E76B26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5A63199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62EDA1A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1844" w:type="dxa"/>
            <w:tcBorders>
              <w:top w:val="nil"/>
              <w:left w:val="nil"/>
              <w:bottom w:val="single" w:color="auto" w:sz="4" w:space="0"/>
              <w:right w:val="single" w:color="auto" w:sz="4" w:space="0"/>
            </w:tcBorders>
            <w:vAlign w:val="center"/>
          </w:tcPr>
          <w:p w14:paraId="1BCF25C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1" w:type="pct"/>
            <w:tcBorders>
              <w:top w:val="nil"/>
              <w:left w:val="nil"/>
              <w:bottom w:val="single" w:color="auto" w:sz="4" w:space="0"/>
              <w:right w:val="single" w:color="auto" w:sz="4" w:space="0"/>
            </w:tcBorders>
            <w:vAlign w:val="center"/>
          </w:tcPr>
          <w:p w14:paraId="7DBB0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66C125E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86667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3CEFD28">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0EA656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7A0397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1844" w:type="dxa"/>
            <w:tcBorders>
              <w:top w:val="nil"/>
              <w:left w:val="nil"/>
              <w:bottom w:val="single" w:color="auto" w:sz="4" w:space="0"/>
              <w:right w:val="single" w:color="auto" w:sz="4" w:space="0"/>
            </w:tcBorders>
            <w:vAlign w:val="center"/>
          </w:tcPr>
          <w:p w14:paraId="4C04028D">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71" w:type="pct"/>
            <w:tcBorders>
              <w:top w:val="nil"/>
              <w:left w:val="nil"/>
              <w:bottom w:val="single" w:color="auto" w:sz="4" w:space="0"/>
              <w:right w:val="single" w:color="auto" w:sz="4" w:space="0"/>
            </w:tcBorders>
            <w:vAlign w:val="center"/>
          </w:tcPr>
          <w:p w14:paraId="59DB23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5F38F27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021F357">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1F27A3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1E330F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7AFE94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4B0141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1" w:type="pct"/>
            <w:tcBorders>
              <w:top w:val="nil"/>
              <w:left w:val="nil"/>
              <w:bottom w:val="single" w:color="auto" w:sz="4" w:space="0"/>
              <w:right w:val="single" w:color="auto" w:sz="4" w:space="0"/>
            </w:tcBorders>
            <w:vAlign w:val="center"/>
          </w:tcPr>
          <w:p w14:paraId="5AFC78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41A405F6">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5A837CDF">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6343F3A9">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1C85A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9745A5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E367B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507892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w:t>
            </w:r>
            <w:r>
              <w:rPr>
                <w:rFonts w:ascii="Arial" w:hAnsi="Arial" w:cs="Arial"/>
                <w:sz w:val="16"/>
                <w:szCs w:val="18"/>
              </w:rPr>
              <w:t>0%</w:t>
            </w:r>
          </w:p>
        </w:tc>
      </w:tr>
      <w:tr w14:paraId="3A4AED9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735B16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0C2AE54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3764186D">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4F1D51F2">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2CDA62B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1" w:type="pct"/>
            <w:tcBorders>
              <w:top w:val="single" w:color="auto" w:sz="4" w:space="0"/>
              <w:left w:val="nil"/>
              <w:bottom w:val="single" w:color="auto" w:sz="4" w:space="0"/>
              <w:right w:val="single" w:color="auto" w:sz="4" w:space="0"/>
            </w:tcBorders>
            <w:vAlign w:val="center"/>
          </w:tcPr>
          <w:p w14:paraId="2B6EC8A1">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403B504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EE0332B">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7282CCA">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CCECF3D">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59017CB4">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1C6D2095">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1" w:type="pct"/>
            <w:tcBorders>
              <w:top w:val="single" w:color="auto" w:sz="4" w:space="0"/>
              <w:left w:val="nil"/>
              <w:bottom w:val="single" w:color="auto" w:sz="4" w:space="0"/>
              <w:right w:val="single" w:color="auto" w:sz="4" w:space="0"/>
            </w:tcBorders>
            <w:vAlign w:val="center"/>
          </w:tcPr>
          <w:p w14:paraId="16EB6DC5">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2E1DD49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F47135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304186B">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1AFAEB3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FB6078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97E95A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77A3C53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3E82FE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B94B3D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A867A0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473DCFF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9FE62F1">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18D3C38D">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1" w:type="pct"/>
            <w:tcBorders>
              <w:top w:val="single" w:color="auto" w:sz="4" w:space="0"/>
              <w:left w:val="nil"/>
              <w:bottom w:val="single" w:color="auto" w:sz="4" w:space="0"/>
              <w:right w:val="single" w:color="auto" w:sz="4" w:space="0"/>
            </w:tcBorders>
            <w:vAlign w:val="center"/>
          </w:tcPr>
          <w:p w14:paraId="3F85FD2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3014A0D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9136C9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650D4B6">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0A78D08C">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1EE79F5E">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488ECAC5">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1" w:type="pct"/>
            <w:tcBorders>
              <w:top w:val="single" w:color="auto" w:sz="4" w:space="0"/>
              <w:left w:val="nil"/>
              <w:bottom w:val="single" w:color="auto" w:sz="4" w:space="0"/>
              <w:right w:val="single" w:color="auto" w:sz="4" w:space="0"/>
            </w:tcBorders>
            <w:vAlign w:val="center"/>
          </w:tcPr>
          <w:p w14:paraId="44025B7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0F24055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A40A7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02E1D33">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1FE8D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2E123BD">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228A64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15FD72C3">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6F6206D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D03518A">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57549C7">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BE72E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87.36</w:t>
            </w:r>
          </w:p>
        </w:tc>
        <w:tc>
          <w:tcPr>
            <w:tcW w:w="968" w:type="pct"/>
            <w:tcBorders>
              <w:top w:val="single" w:color="auto" w:sz="4" w:space="0"/>
              <w:left w:val="nil"/>
              <w:bottom w:val="single" w:color="auto" w:sz="4" w:space="0"/>
              <w:right w:val="single" w:color="auto" w:sz="4" w:space="0"/>
            </w:tcBorders>
            <w:vAlign w:val="center"/>
          </w:tcPr>
          <w:p w14:paraId="469472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94.59</w:t>
            </w:r>
          </w:p>
        </w:tc>
        <w:tc>
          <w:tcPr>
            <w:tcW w:w="968" w:type="pct"/>
            <w:tcBorders>
              <w:top w:val="single" w:color="auto" w:sz="4" w:space="0"/>
              <w:left w:val="nil"/>
              <w:bottom w:val="single" w:color="auto" w:sz="4" w:space="0"/>
              <w:right w:val="single" w:color="auto" w:sz="4" w:space="0"/>
            </w:tcBorders>
            <w:vAlign w:val="center"/>
          </w:tcPr>
          <w:p w14:paraId="63E97243">
            <w:pPr>
              <w:widowControl/>
              <w:adjustRightInd/>
              <w:spacing w:line="240" w:lineRule="auto"/>
              <w:jc w:val="center"/>
              <w:textAlignment w:val="auto"/>
              <w:rPr>
                <w:rFonts w:hint="default" w:ascii="Arial" w:hAnsi="Arial" w:eastAsia="宋体" w:cs="Arial"/>
                <w:sz w:val="16"/>
                <w:szCs w:val="18"/>
                <w:lang w:val="en-US" w:eastAsia="zh-CN"/>
              </w:rPr>
            </w:pPr>
            <w:r>
              <w:rPr>
                <w:rFonts w:hint="eastAsia" w:ascii="Arial" w:hAnsi="Arial" w:cs="Arial"/>
                <w:sz w:val="16"/>
                <w:szCs w:val="18"/>
                <w:lang w:val="en-US" w:eastAsia="zh-CN"/>
              </w:rPr>
              <w:t>112</w:t>
            </w:r>
          </w:p>
        </w:tc>
        <w:tc>
          <w:tcPr>
            <w:tcW w:w="971" w:type="pct"/>
            <w:tcBorders>
              <w:top w:val="single" w:color="auto" w:sz="4" w:space="0"/>
              <w:left w:val="nil"/>
              <w:bottom w:val="single" w:color="auto" w:sz="4" w:space="0"/>
              <w:right w:val="single" w:color="auto" w:sz="4" w:space="0"/>
            </w:tcBorders>
            <w:vAlign w:val="center"/>
          </w:tcPr>
          <w:p w14:paraId="409E3C4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90.79</w:t>
            </w:r>
          </w:p>
        </w:tc>
      </w:tr>
      <w:tr w14:paraId="46A37AE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F55B42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07305CF">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1C5CF7A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30944CD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5B0A35EA">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1" w:type="pct"/>
            <w:tcBorders>
              <w:top w:val="single" w:color="auto" w:sz="4" w:space="0"/>
              <w:left w:val="nil"/>
              <w:bottom w:val="single" w:color="auto" w:sz="4" w:space="0"/>
              <w:right w:val="single" w:color="auto" w:sz="4" w:space="0"/>
            </w:tcBorders>
            <w:vAlign w:val="center"/>
          </w:tcPr>
          <w:p w14:paraId="1F6FDD0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254A03B0">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7070C3B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489DE37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B8A8B0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EF3091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8B9C8D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47F20064">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DAB28F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EC5BCA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6E387A1">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60E36FA3">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AB43AF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6FA037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661520D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5FF5B35A">
      <w:pPr>
        <w:overflowPunct w:val="0"/>
        <w:spacing w:line="480" w:lineRule="auto"/>
        <w:ind w:firstLine="420" w:firstLineChars="200"/>
        <w:jc w:val="center"/>
        <w:rPr>
          <w:rFonts w:ascii="Arial" w:hAnsi="Arial"/>
          <w:sz w:val="21"/>
          <w:szCs w:val="21"/>
        </w:rPr>
      </w:pPr>
    </w:p>
    <w:p w14:paraId="2CDE6E03">
      <w:pPr>
        <w:overflowPunct w:val="0"/>
        <w:spacing w:line="480" w:lineRule="auto"/>
        <w:ind w:firstLine="420" w:firstLineChars="200"/>
        <w:jc w:val="center"/>
        <w:rPr>
          <w:rFonts w:ascii="Arial" w:hAnsi="Arial"/>
          <w:sz w:val="21"/>
          <w:szCs w:val="21"/>
        </w:rPr>
      </w:pPr>
    </w:p>
    <w:p w14:paraId="7597B4B1">
      <w:pPr>
        <w:overflowPunct w:val="0"/>
        <w:spacing w:line="480" w:lineRule="auto"/>
        <w:ind w:firstLine="420" w:firstLineChars="200"/>
        <w:jc w:val="center"/>
        <w:rPr>
          <w:rFonts w:ascii="Arial" w:hAnsi="Arial"/>
          <w:sz w:val="21"/>
          <w:szCs w:val="21"/>
        </w:rPr>
      </w:pPr>
    </w:p>
    <w:p w14:paraId="44883763">
      <w:pPr>
        <w:overflowPunct w:val="0"/>
        <w:spacing w:line="480" w:lineRule="auto"/>
        <w:ind w:firstLine="420" w:firstLineChars="200"/>
        <w:jc w:val="center"/>
        <w:rPr>
          <w:rFonts w:ascii="Arial" w:hAnsi="Arial"/>
          <w:sz w:val="21"/>
          <w:szCs w:val="21"/>
        </w:rPr>
      </w:pPr>
    </w:p>
    <w:p w14:paraId="1056E7AF">
      <w:pPr>
        <w:overflowPunct w:val="0"/>
        <w:spacing w:line="480" w:lineRule="auto"/>
        <w:ind w:firstLine="420" w:firstLineChars="200"/>
        <w:jc w:val="center"/>
        <w:rPr>
          <w:rFonts w:ascii="Arial" w:hAnsi="Arial"/>
          <w:sz w:val="21"/>
          <w:szCs w:val="21"/>
        </w:rPr>
      </w:pPr>
    </w:p>
    <w:p w14:paraId="67AFD5C9">
      <w:pPr>
        <w:overflowPunct w:val="0"/>
        <w:spacing w:line="480" w:lineRule="auto"/>
        <w:ind w:firstLine="420" w:firstLineChars="200"/>
        <w:jc w:val="center"/>
        <w:rPr>
          <w:rFonts w:ascii="Arial" w:hAnsi="Arial"/>
          <w:sz w:val="21"/>
          <w:szCs w:val="21"/>
        </w:rPr>
      </w:pPr>
    </w:p>
    <w:p w14:paraId="55360610">
      <w:pPr>
        <w:overflowPunct w:val="0"/>
        <w:spacing w:line="480" w:lineRule="auto"/>
        <w:ind w:firstLine="420" w:firstLineChars="200"/>
        <w:jc w:val="center"/>
        <w:rPr>
          <w:rFonts w:ascii="Arial" w:hAnsi="Arial"/>
          <w:sz w:val="21"/>
          <w:szCs w:val="21"/>
        </w:rPr>
      </w:pPr>
    </w:p>
    <w:p w14:paraId="02AD41D9">
      <w:pPr>
        <w:overflowPunct w:val="0"/>
        <w:spacing w:line="480" w:lineRule="auto"/>
        <w:ind w:firstLine="420" w:firstLineChars="200"/>
        <w:jc w:val="center"/>
        <w:rPr>
          <w:rFonts w:ascii="Arial" w:hAnsi="Arial"/>
          <w:sz w:val="21"/>
          <w:szCs w:val="21"/>
        </w:rPr>
      </w:pPr>
    </w:p>
    <w:p w14:paraId="58059629">
      <w:pPr>
        <w:overflowPunct w:val="0"/>
        <w:spacing w:line="480" w:lineRule="auto"/>
        <w:ind w:firstLine="420" w:firstLineChars="200"/>
        <w:jc w:val="center"/>
        <w:rPr>
          <w:rFonts w:ascii="Arial" w:hAnsi="Arial"/>
          <w:sz w:val="21"/>
          <w:szCs w:val="21"/>
        </w:rPr>
      </w:pPr>
    </w:p>
    <w:p w14:paraId="69A803F5">
      <w:pPr>
        <w:wordWrap w:val="0"/>
        <w:overflowPunct w:val="0"/>
        <w:spacing w:line="480" w:lineRule="auto"/>
        <w:rPr>
          <w:rFonts w:ascii="Arial" w:hAnsi="Arial"/>
          <w:sz w:val="21"/>
          <w:szCs w:val="21"/>
        </w:rPr>
      </w:pPr>
    </w:p>
    <w:p w14:paraId="50F1D21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A1423AC">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27F02294">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4"/>
        <w:gridCol w:w="988"/>
        <w:gridCol w:w="988"/>
        <w:gridCol w:w="988"/>
        <w:gridCol w:w="988"/>
        <w:gridCol w:w="3781"/>
      </w:tblGrid>
      <w:tr w14:paraId="062F386A">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08201015">
            <w:pPr>
              <w:snapToGrid w:val="0"/>
              <w:spacing w:line="240" w:lineRule="exact"/>
              <w:jc w:val="right"/>
              <w:rPr>
                <w:rFonts w:ascii="宋体" w:hAnsi="宋体" w:cs="Arial"/>
                <w:sz w:val="16"/>
                <w:szCs w:val="18"/>
              </w:rPr>
            </w:pPr>
            <w:r>
              <w:rPr>
                <w:rFonts w:ascii="宋体" w:hAnsi="宋体" w:cs="Arial"/>
                <w:sz w:val="16"/>
                <w:szCs w:val="18"/>
              </w:rPr>
              <w:t>估价对象及</w:t>
            </w:r>
          </w:p>
          <w:p w14:paraId="409D1AC4">
            <w:pPr>
              <w:snapToGrid w:val="0"/>
              <w:spacing w:line="240" w:lineRule="exact"/>
              <w:jc w:val="right"/>
              <w:rPr>
                <w:rFonts w:ascii="宋体" w:hAnsi="宋体" w:cs="Arial"/>
                <w:sz w:val="16"/>
                <w:szCs w:val="18"/>
              </w:rPr>
            </w:pPr>
            <w:r>
              <w:rPr>
                <w:rFonts w:ascii="宋体" w:hAnsi="宋体" w:cs="Arial"/>
                <w:sz w:val="16"/>
                <w:szCs w:val="18"/>
              </w:rPr>
              <w:t>可比实例</w:t>
            </w:r>
          </w:p>
          <w:p w14:paraId="12A0C7B5">
            <w:pPr>
              <w:snapToGrid w:val="0"/>
              <w:spacing w:line="240" w:lineRule="exact"/>
              <w:jc w:val="both"/>
              <w:rPr>
                <w:rFonts w:ascii="宋体" w:hAnsi="宋体" w:cs="Arial"/>
                <w:sz w:val="16"/>
                <w:szCs w:val="18"/>
              </w:rPr>
            </w:pPr>
          </w:p>
          <w:p w14:paraId="17EE21A3">
            <w:pPr>
              <w:snapToGrid w:val="0"/>
              <w:spacing w:line="240" w:lineRule="exact"/>
              <w:jc w:val="both"/>
              <w:rPr>
                <w:rFonts w:ascii="宋体" w:hAnsi="宋体" w:cs="Arial"/>
                <w:sz w:val="16"/>
                <w:szCs w:val="18"/>
              </w:rPr>
            </w:pPr>
          </w:p>
          <w:p w14:paraId="7AD66C66">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232D02B7">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DA07E93">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649F98F4">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26C051D4">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3" w:type="pct"/>
            <w:tcBorders>
              <w:top w:val="single" w:color="auto" w:sz="4" w:space="0"/>
              <w:left w:val="nil"/>
              <w:bottom w:val="single" w:color="auto" w:sz="4" w:space="0"/>
              <w:right w:val="single" w:color="auto" w:sz="4" w:space="0"/>
            </w:tcBorders>
            <w:vAlign w:val="center"/>
          </w:tcPr>
          <w:p w14:paraId="0292DDB5">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33E020B2">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7D8E1F69">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0557149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531" w:type="pct"/>
            <w:tcBorders>
              <w:top w:val="nil"/>
              <w:left w:val="nil"/>
              <w:bottom w:val="single" w:color="auto" w:sz="4" w:space="0"/>
              <w:right w:val="single" w:color="auto" w:sz="4" w:space="0"/>
            </w:tcBorders>
            <w:vAlign w:val="center"/>
          </w:tcPr>
          <w:p w14:paraId="55C8DF4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531" w:type="pct"/>
            <w:tcBorders>
              <w:top w:val="nil"/>
              <w:left w:val="nil"/>
              <w:bottom w:val="single" w:color="auto" w:sz="4" w:space="0"/>
              <w:right w:val="single" w:color="auto" w:sz="4" w:space="0"/>
            </w:tcBorders>
            <w:shd w:val="clear" w:color="auto" w:fill="auto"/>
            <w:vAlign w:val="center"/>
          </w:tcPr>
          <w:p w14:paraId="5580A50F">
            <w:pPr>
              <w:widowControl/>
              <w:snapToGrid w:val="0"/>
              <w:spacing w:line="240" w:lineRule="exact"/>
              <w:jc w:val="center"/>
              <w:textAlignment w:val="center"/>
              <w:rPr>
                <w:rFonts w:ascii="Arial" w:hAnsi="Arial" w:eastAsia="宋体" w:cs="Arial"/>
                <w:sz w:val="16"/>
                <w:szCs w:val="18"/>
                <w:lang w:val="en-US" w:eastAsia="zh-CN" w:bidi="ar-SA"/>
              </w:rPr>
            </w:pPr>
            <w:r>
              <w:rPr>
                <w:rFonts w:hint="eastAsia" w:ascii="Arial" w:hAnsi="Arial" w:cs="Arial"/>
                <w:sz w:val="16"/>
                <w:szCs w:val="18"/>
              </w:rPr>
              <w:t>恒盛波尔多小镇南区</w:t>
            </w:r>
          </w:p>
        </w:tc>
        <w:tc>
          <w:tcPr>
            <w:tcW w:w="531" w:type="pct"/>
            <w:tcBorders>
              <w:top w:val="nil"/>
              <w:left w:val="nil"/>
              <w:bottom w:val="single" w:color="auto" w:sz="4" w:space="0"/>
              <w:right w:val="single" w:color="auto" w:sz="4" w:space="0"/>
            </w:tcBorders>
            <w:vAlign w:val="center"/>
          </w:tcPr>
          <w:p w14:paraId="60440CC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c>
          <w:tcPr>
            <w:tcW w:w="2033" w:type="pct"/>
            <w:tcBorders>
              <w:top w:val="nil"/>
              <w:left w:val="nil"/>
              <w:bottom w:val="single" w:color="auto" w:sz="4" w:space="0"/>
              <w:right w:val="single" w:color="auto" w:sz="4" w:space="0"/>
            </w:tcBorders>
            <w:vAlign w:val="center"/>
          </w:tcPr>
          <w:p w14:paraId="007BAEE8">
            <w:pPr>
              <w:snapToGrid w:val="0"/>
              <w:spacing w:line="240" w:lineRule="exact"/>
              <w:jc w:val="both"/>
              <w:rPr>
                <w:rFonts w:ascii="宋体" w:hAnsi="宋体" w:cs="Arial"/>
                <w:sz w:val="16"/>
                <w:szCs w:val="18"/>
              </w:rPr>
            </w:pPr>
            <w:r>
              <w:rPr>
                <w:rFonts w:ascii="宋体" w:hAnsi="宋体" w:cs="Arial"/>
                <w:sz w:val="16"/>
                <w:szCs w:val="18"/>
              </w:rPr>
              <w:t>——</w:t>
            </w:r>
          </w:p>
        </w:tc>
      </w:tr>
      <w:tr w14:paraId="0EB462CB">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7E2B3706">
            <w:pPr>
              <w:snapToGrid w:val="0"/>
              <w:spacing w:line="240" w:lineRule="exact"/>
              <w:jc w:val="both"/>
              <w:rPr>
                <w:rFonts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720024AE">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3B7DCABA">
            <w:pPr>
              <w:autoSpaceDE w:val="0"/>
              <w:autoSpaceDN w:val="0"/>
              <w:spacing w:line="240" w:lineRule="exact"/>
              <w:textAlignment w:val="bottom"/>
              <w:rPr>
                <w:rFonts w:ascii="Arial" w:hAnsi="Arial" w:cs="Arial"/>
                <w:sz w:val="16"/>
                <w:szCs w:val="18"/>
              </w:rPr>
            </w:pPr>
            <w:r>
              <w:rPr>
                <w:rFonts w:hint="eastAsia" w:ascii="Arial" w:hAnsi="Arial" w:cs="Arial"/>
                <w:sz w:val="16"/>
                <w:szCs w:val="18"/>
              </w:rPr>
              <w:t>14.93</w:t>
            </w:r>
          </w:p>
        </w:tc>
        <w:tc>
          <w:tcPr>
            <w:tcW w:w="531" w:type="pct"/>
            <w:tcBorders>
              <w:top w:val="nil"/>
              <w:left w:val="nil"/>
              <w:bottom w:val="single" w:color="auto" w:sz="4" w:space="0"/>
              <w:right w:val="single" w:color="auto" w:sz="4" w:space="0"/>
            </w:tcBorders>
            <w:noWrap/>
            <w:vAlign w:val="center"/>
          </w:tcPr>
          <w:p w14:paraId="5CD4880B">
            <w:pPr>
              <w:autoSpaceDE w:val="0"/>
              <w:autoSpaceDN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rPr>
              <w:t>16.</w:t>
            </w:r>
            <w:r>
              <w:rPr>
                <w:rFonts w:hint="eastAsia" w:ascii="Arial" w:hAnsi="Arial" w:cs="Arial"/>
                <w:sz w:val="16"/>
                <w:szCs w:val="18"/>
                <w:lang w:val="en-US" w:eastAsia="zh-CN"/>
              </w:rPr>
              <w:t>80</w:t>
            </w:r>
          </w:p>
        </w:tc>
        <w:tc>
          <w:tcPr>
            <w:tcW w:w="531" w:type="pct"/>
            <w:tcBorders>
              <w:top w:val="nil"/>
              <w:left w:val="nil"/>
              <w:bottom w:val="single" w:color="auto" w:sz="4" w:space="0"/>
              <w:right w:val="single" w:color="auto" w:sz="4" w:space="0"/>
            </w:tcBorders>
            <w:noWrap/>
            <w:vAlign w:val="center"/>
          </w:tcPr>
          <w:p w14:paraId="193D12BE">
            <w:pPr>
              <w:autoSpaceDE w:val="0"/>
              <w:autoSpaceDN w:val="0"/>
              <w:spacing w:line="240" w:lineRule="exact"/>
              <w:textAlignment w:val="bottom"/>
              <w:rPr>
                <w:rFonts w:ascii="Arial" w:hAnsi="Arial" w:cs="Arial"/>
                <w:sz w:val="16"/>
                <w:szCs w:val="18"/>
              </w:rPr>
            </w:pPr>
            <w:r>
              <w:rPr>
                <w:rFonts w:hint="eastAsia" w:ascii="Arial" w:hAnsi="Arial" w:cs="Arial"/>
                <w:sz w:val="16"/>
                <w:szCs w:val="18"/>
              </w:rPr>
              <w:t>15.87</w:t>
            </w:r>
          </w:p>
        </w:tc>
        <w:tc>
          <w:tcPr>
            <w:tcW w:w="2033" w:type="pct"/>
            <w:tcBorders>
              <w:top w:val="nil"/>
              <w:left w:val="nil"/>
              <w:bottom w:val="single" w:color="auto" w:sz="4" w:space="0"/>
              <w:right w:val="single" w:color="auto" w:sz="4" w:space="0"/>
            </w:tcBorders>
            <w:vAlign w:val="center"/>
          </w:tcPr>
          <w:p w14:paraId="45F66773">
            <w:pPr>
              <w:snapToGrid w:val="0"/>
              <w:spacing w:line="240" w:lineRule="exact"/>
              <w:jc w:val="both"/>
              <w:rPr>
                <w:rFonts w:ascii="宋体" w:hAnsi="宋体" w:cs="Arial"/>
                <w:sz w:val="16"/>
                <w:szCs w:val="18"/>
              </w:rPr>
            </w:pPr>
            <w:r>
              <w:rPr>
                <w:rFonts w:ascii="宋体" w:hAnsi="宋体" w:cs="Arial"/>
                <w:sz w:val="16"/>
                <w:szCs w:val="18"/>
              </w:rPr>
              <w:t>——</w:t>
            </w:r>
          </w:p>
        </w:tc>
      </w:tr>
      <w:tr w14:paraId="583F48D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56FB5193">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5D3FE7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7DF7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AE81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DDDF7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6229AA7">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49C4808F">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2FB1B719">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11092F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4C22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E5BCB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ADD94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87F973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5C622E6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5658FA40">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5BA56D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F5AB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98B1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B109D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09484D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449390F1">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2EAD359">
            <w:pPr>
              <w:snapToGrid w:val="0"/>
              <w:spacing w:line="240" w:lineRule="exact"/>
              <w:jc w:val="both"/>
              <w:rPr>
                <w:rFonts w:ascii="宋体" w:hAnsi="宋体" w:cs="Arial"/>
                <w:sz w:val="16"/>
                <w:szCs w:val="18"/>
              </w:rPr>
            </w:pPr>
            <w:r>
              <w:rPr>
                <w:rFonts w:ascii="宋体" w:hAnsi="宋体" w:cs="Arial"/>
                <w:sz w:val="16"/>
                <w:szCs w:val="18"/>
              </w:rPr>
              <w:t>区域</w:t>
            </w:r>
          </w:p>
          <w:p w14:paraId="1D5CD0B7">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767FA4F">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7C3D6D9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AA150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2AE98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7217E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702DB1A">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26533FE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7BA8FF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753EF31">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64F4C0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5F77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8AD88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31EBE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B9FAC1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C4C815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BEDE94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F27EEEE">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0AD23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40CA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252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F89E0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4681ECF">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7ADE92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E5F09A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72249E">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5E94D6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95F06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DE00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3A3AF2">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C3E4EA3">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10641B7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154506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0A15D87">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7C341C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68C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D098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7F3DF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E1FD598">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3A5DD7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7C92ED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54705D6">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263AB3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193E4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4C12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A2290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A468A74">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6AFA283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3DD6E8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4799D25">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633369F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5331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FB213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30D6A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9A1784B">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A698AA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62B10F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9CD93B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2D0135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5AF33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3BCB9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A960FB">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0A5AE5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06B1243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B0D8C6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E2C65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5E7A42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443D4">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00</w:t>
            </w:r>
          </w:p>
        </w:tc>
        <w:tc>
          <w:tcPr>
            <w:tcW w:w="531" w:type="pct"/>
            <w:tcBorders>
              <w:top w:val="nil"/>
              <w:left w:val="nil"/>
              <w:bottom w:val="single" w:color="auto" w:sz="4" w:space="0"/>
              <w:right w:val="single" w:color="auto" w:sz="4" w:space="0"/>
            </w:tcBorders>
            <w:noWrap/>
            <w:vAlign w:val="center"/>
          </w:tcPr>
          <w:p w14:paraId="28058931">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105</w:t>
            </w:r>
          </w:p>
        </w:tc>
        <w:tc>
          <w:tcPr>
            <w:tcW w:w="531" w:type="pct"/>
            <w:tcBorders>
              <w:top w:val="nil"/>
              <w:left w:val="nil"/>
              <w:bottom w:val="single" w:color="auto" w:sz="4" w:space="0"/>
              <w:right w:val="single" w:color="auto" w:sz="4" w:space="0"/>
            </w:tcBorders>
            <w:noWrap/>
            <w:vAlign w:val="center"/>
          </w:tcPr>
          <w:p w14:paraId="60FDC10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5</w:t>
            </w:r>
          </w:p>
        </w:tc>
        <w:tc>
          <w:tcPr>
            <w:tcW w:w="2033" w:type="pct"/>
            <w:tcBorders>
              <w:top w:val="nil"/>
              <w:left w:val="nil"/>
              <w:bottom w:val="single" w:color="auto" w:sz="4" w:space="0"/>
              <w:right w:val="single" w:color="auto" w:sz="4" w:space="0"/>
            </w:tcBorders>
            <w:vAlign w:val="center"/>
          </w:tcPr>
          <w:p w14:paraId="58BCF79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、10</w:t>
            </w:r>
            <w:r>
              <w:rPr>
                <w:rFonts w:hint="eastAsia" w:ascii="Arial" w:hAnsi="Arial" w:cs="Arial"/>
                <w:sz w:val="16"/>
                <w:szCs w:val="18"/>
              </w:rPr>
              <w:t>5</w:t>
            </w:r>
            <w:r>
              <w:rPr>
                <w:rFonts w:ascii="Arial" w:hAnsi="Arial" w:cs="Arial"/>
                <w:sz w:val="16"/>
                <w:szCs w:val="18"/>
              </w:rPr>
              <w:t>；</w:t>
            </w:r>
          </w:p>
        </w:tc>
      </w:tr>
      <w:tr w14:paraId="7FD7BD8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C4E5D4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E40217">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5D3608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3A4C5F">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1543B918">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99</w:t>
            </w:r>
          </w:p>
        </w:tc>
        <w:tc>
          <w:tcPr>
            <w:tcW w:w="531" w:type="pct"/>
            <w:tcBorders>
              <w:top w:val="nil"/>
              <w:left w:val="nil"/>
              <w:bottom w:val="single" w:color="auto" w:sz="4" w:space="0"/>
              <w:right w:val="single" w:color="auto" w:sz="4" w:space="0"/>
            </w:tcBorders>
            <w:noWrap/>
            <w:vAlign w:val="center"/>
          </w:tcPr>
          <w:p w14:paraId="53D404B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28BF16A">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101</w:t>
            </w:r>
            <w:r>
              <w:rPr>
                <w:rFonts w:ascii="Arial" w:hAnsi="Arial" w:cs="Arial"/>
                <w:sz w:val="16"/>
                <w:szCs w:val="18"/>
              </w:rPr>
              <w:t>、100；</w:t>
            </w:r>
          </w:p>
        </w:tc>
      </w:tr>
      <w:tr w14:paraId="137C915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092C60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9AE618">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C38113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4F6B7F">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1B18751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1EF49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6FD7000">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6152E456">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0E8C597">
            <w:pPr>
              <w:snapToGrid w:val="0"/>
              <w:spacing w:line="240" w:lineRule="exact"/>
              <w:jc w:val="both"/>
              <w:rPr>
                <w:rFonts w:ascii="宋体" w:hAnsi="宋体" w:cs="Arial"/>
                <w:sz w:val="16"/>
                <w:szCs w:val="18"/>
              </w:rPr>
            </w:pPr>
            <w:r>
              <w:rPr>
                <w:rFonts w:ascii="宋体" w:hAnsi="宋体" w:cs="Arial"/>
                <w:sz w:val="16"/>
                <w:szCs w:val="18"/>
              </w:rPr>
              <w:t>实物</w:t>
            </w:r>
          </w:p>
          <w:p w14:paraId="23F046AE">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01A8F7E">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58F1D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8288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B7814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2CBF38">
            <w:pPr>
              <w:snapToGrid w:val="0"/>
              <w:spacing w:line="240" w:lineRule="exact"/>
              <w:jc w:val="both"/>
              <w:rPr>
                <w:rFonts w:ascii="Arial" w:hAnsi="Arial" w:cs="Arial"/>
                <w:sz w:val="16"/>
                <w:szCs w:val="18"/>
              </w:rPr>
            </w:pPr>
            <w:r>
              <w:rPr>
                <w:rFonts w:hint="eastAsia" w:ascii="Arial" w:hAnsi="Arial" w:cs="Arial"/>
                <w:sz w:val="16"/>
                <w:szCs w:val="18"/>
              </w:rPr>
              <w:t>99</w:t>
            </w:r>
          </w:p>
        </w:tc>
        <w:tc>
          <w:tcPr>
            <w:tcW w:w="2033" w:type="pct"/>
            <w:tcBorders>
              <w:top w:val="nil"/>
              <w:left w:val="nil"/>
              <w:bottom w:val="single" w:color="auto" w:sz="4" w:space="0"/>
              <w:right w:val="single" w:color="auto" w:sz="4" w:space="0"/>
            </w:tcBorders>
            <w:vAlign w:val="center"/>
          </w:tcPr>
          <w:p w14:paraId="1D708C02">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100、100、99</w:t>
            </w:r>
            <w:r>
              <w:rPr>
                <w:rFonts w:ascii="Arial" w:hAnsi="Arial" w:cs="Arial"/>
                <w:sz w:val="16"/>
                <w:szCs w:val="18"/>
              </w:rPr>
              <w:t>；</w:t>
            </w:r>
          </w:p>
        </w:tc>
      </w:tr>
      <w:tr w14:paraId="37F7514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DF1C7B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939C56">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56712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6381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224B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B7B854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F17659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100，每级相差2分，确定可比实例1、2、3该因素指数分别为100、100、100；</w:t>
            </w:r>
          </w:p>
        </w:tc>
      </w:tr>
      <w:tr w14:paraId="78DF531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541265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8767AA">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438ADE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A6D9A4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8BD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CD4A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648CA1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D5C970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7E886C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C479BF4">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00668DF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975B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B9F9C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38C8D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F826FE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A459E50">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CA350F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F7D5424">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E44BA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E040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4E55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8B805B">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87C57D7">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8B06CE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42E6FC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346969B">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6AD67C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7A80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35E85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8AB809">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CB9AE76">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100、100、100</w:t>
            </w:r>
            <w:r>
              <w:rPr>
                <w:rFonts w:ascii="Arial" w:hAnsi="Arial" w:cs="Arial"/>
                <w:sz w:val="16"/>
                <w:szCs w:val="18"/>
              </w:rPr>
              <w:t>；</w:t>
            </w:r>
          </w:p>
        </w:tc>
      </w:tr>
      <w:tr w14:paraId="53786B40">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DD9FD8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6FE6C2">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5F85A2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B4E4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649B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85058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D6BB385">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520F054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869206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E96D8BA">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5E8461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20EA02">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7D6F84BC">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97</w:t>
            </w:r>
          </w:p>
        </w:tc>
        <w:tc>
          <w:tcPr>
            <w:tcW w:w="531" w:type="pct"/>
            <w:tcBorders>
              <w:top w:val="nil"/>
              <w:left w:val="nil"/>
              <w:bottom w:val="single" w:color="auto" w:sz="4" w:space="0"/>
              <w:right w:val="single" w:color="auto" w:sz="4" w:space="0"/>
            </w:tcBorders>
            <w:noWrap/>
            <w:vAlign w:val="center"/>
          </w:tcPr>
          <w:p w14:paraId="6634E230">
            <w:pPr>
              <w:snapToGrid w:val="0"/>
              <w:spacing w:line="240" w:lineRule="exact"/>
              <w:jc w:val="both"/>
              <w:rPr>
                <w:rFonts w:ascii="Arial" w:hAnsi="Arial" w:cs="Arial"/>
                <w:sz w:val="16"/>
                <w:szCs w:val="18"/>
              </w:rPr>
            </w:pPr>
            <w:r>
              <w:rPr>
                <w:rFonts w:hint="eastAsia" w:ascii="Arial" w:hAnsi="Arial" w:cs="Arial"/>
                <w:sz w:val="16"/>
                <w:szCs w:val="18"/>
              </w:rPr>
              <w:t>99</w:t>
            </w:r>
          </w:p>
        </w:tc>
        <w:tc>
          <w:tcPr>
            <w:tcW w:w="2033" w:type="pct"/>
            <w:tcBorders>
              <w:top w:val="nil"/>
              <w:left w:val="nil"/>
              <w:bottom w:val="single" w:color="auto" w:sz="4" w:space="0"/>
              <w:right w:val="single" w:color="auto" w:sz="4" w:space="0"/>
            </w:tcBorders>
            <w:vAlign w:val="center"/>
          </w:tcPr>
          <w:p w14:paraId="47E29202">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99、100、99</w:t>
            </w:r>
            <w:r>
              <w:rPr>
                <w:rFonts w:ascii="Arial" w:hAnsi="Arial" w:cs="Arial"/>
                <w:sz w:val="16"/>
                <w:szCs w:val="18"/>
              </w:rPr>
              <w:t>；</w:t>
            </w:r>
          </w:p>
        </w:tc>
      </w:tr>
      <w:tr w14:paraId="722AAE9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71C783E">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756E04C">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3543B7B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4E9F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9AAB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8CBFB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CAB515F">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7635C46C">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5ED6409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000D82EA">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75076CD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B75D2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17B2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46B89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AC617AF">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5289D12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4BC562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F11B2C7">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6B6CA8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3A30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264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F46ED2">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61C8B91">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E790E6B">
      <w:pPr>
        <w:wordWrap w:val="0"/>
        <w:overflowPunct w:val="0"/>
        <w:spacing w:line="480" w:lineRule="auto"/>
        <w:rPr>
          <w:rFonts w:ascii="Arial" w:hAnsi="Arial"/>
          <w:sz w:val="21"/>
          <w:szCs w:val="21"/>
        </w:rPr>
      </w:pPr>
    </w:p>
    <w:p w14:paraId="53066A5B">
      <w:pPr>
        <w:wordWrap w:val="0"/>
        <w:overflowPunct w:val="0"/>
        <w:spacing w:line="480" w:lineRule="auto"/>
        <w:rPr>
          <w:rFonts w:ascii="Arial" w:hAnsi="Arial"/>
          <w:sz w:val="21"/>
          <w:szCs w:val="21"/>
        </w:rPr>
      </w:pPr>
    </w:p>
    <w:p w14:paraId="0E2DC0FC">
      <w:pPr>
        <w:wordWrap w:val="0"/>
        <w:overflowPunct w:val="0"/>
        <w:spacing w:line="480" w:lineRule="auto"/>
        <w:rPr>
          <w:rFonts w:ascii="Arial" w:hAnsi="Arial"/>
          <w:sz w:val="21"/>
          <w:szCs w:val="21"/>
        </w:rPr>
      </w:pPr>
    </w:p>
    <w:p w14:paraId="7DB503C4">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7CFDE2AF">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4D24126">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4582BE81">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F8E841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439F8F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082D42D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7BF4292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45627F6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7AE0031">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296B2DA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897" w:type="pct"/>
            <w:tcBorders>
              <w:top w:val="nil"/>
              <w:left w:val="nil"/>
              <w:bottom w:val="single" w:color="auto" w:sz="4" w:space="0"/>
              <w:right w:val="single" w:color="auto" w:sz="4" w:space="0"/>
            </w:tcBorders>
            <w:shd w:val="clear" w:color="auto" w:fill="auto"/>
            <w:vAlign w:val="center"/>
          </w:tcPr>
          <w:p w14:paraId="3C8F8728">
            <w:pPr>
              <w:widowControl/>
              <w:snapToGrid w:val="0"/>
              <w:spacing w:line="240" w:lineRule="exact"/>
              <w:jc w:val="center"/>
              <w:textAlignment w:val="center"/>
              <w:rPr>
                <w:rFonts w:ascii="Arial" w:hAnsi="Arial" w:eastAsia="宋体" w:cs="Arial"/>
                <w:sz w:val="16"/>
                <w:szCs w:val="18"/>
                <w:lang w:val="en-US" w:eastAsia="zh-CN" w:bidi="ar-SA"/>
              </w:rPr>
            </w:pPr>
            <w:r>
              <w:rPr>
                <w:rFonts w:hint="eastAsia" w:ascii="Arial" w:hAnsi="Arial" w:cs="Arial"/>
                <w:sz w:val="16"/>
                <w:szCs w:val="18"/>
              </w:rPr>
              <w:t>恒盛波尔多小镇南区</w:t>
            </w:r>
          </w:p>
        </w:tc>
        <w:tc>
          <w:tcPr>
            <w:tcW w:w="897" w:type="pct"/>
            <w:tcBorders>
              <w:top w:val="nil"/>
              <w:left w:val="nil"/>
              <w:bottom w:val="single" w:color="auto" w:sz="4" w:space="0"/>
              <w:right w:val="single" w:color="auto" w:sz="4" w:space="0"/>
            </w:tcBorders>
            <w:vAlign w:val="center"/>
          </w:tcPr>
          <w:p w14:paraId="71E9AD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5F9EA9F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FB8A2E">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6771314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897" w:type="pct"/>
            <w:tcBorders>
              <w:top w:val="nil"/>
              <w:left w:val="nil"/>
              <w:bottom w:val="single" w:color="auto" w:sz="4" w:space="0"/>
              <w:right w:val="single" w:color="auto" w:sz="4" w:space="0"/>
            </w:tcBorders>
            <w:vAlign w:val="center"/>
          </w:tcPr>
          <w:p w14:paraId="267B2012">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rPr>
              <w:t>16.</w:t>
            </w:r>
            <w:r>
              <w:rPr>
                <w:rFonts w:hint="eastAsia" w:ascii="Arial" w:hAnsi="Arial" w:cs="Arial"/>
                <w:sz w:val="16"/>
                <w:szCs w:val="18"/>
                <w:lang w:val="en-US" w:eastAsia="zh-CN"/>
              </w:rPr>
              <w:t>80</w:t>
            </w:r>
          </w:p>
        </w:tc>
        <w:tc>
          <w:tcPr>
            <w:tcW w:w="897" w:type="pct"/>
            <w:tcBorders>
              <w:top w:val="nil"/>
              <w:left w:val="nil"/>
              <w:bottom w:val="single" w:color="auto" w:sz="4" w:space="0"/>
              <w:right w:val="single" w:color="auto" w:sz="4" w:space="0"/>
            </w:tcBorders>
            <w:vAlign w:val="center"/>
          </w:tcPr>
          <w:p w14:paraId="1321DAD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202EC35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1DD5ED4">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BC237A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B7D4EA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64F40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D93538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F850B26">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BE184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16C715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33AE3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E64705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A2FE781">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323D01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05FC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B729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EB14440">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49A64A5B">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6DB3A36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793C69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545B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8F72C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24951D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9464E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319BBD">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61DB7B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04E8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23787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6BBF6B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15794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042C6C6">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4048528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BF8590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CCD9C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A71D64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34F73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4D9253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49E537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428F9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BE773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1BEF6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FE3BB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26E6E6">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3EA3C0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A9656B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0F162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3D044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D6BBD0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34CCA6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634714E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E920E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ADC53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DE91E8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D07840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B4FA56">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5369D6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2700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847A5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605899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AE1691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BA88302">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090802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CEE3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01BE2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873E73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3654D9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58862B">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1109352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9F411F7">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5</w:t>
            </w:r>
          </w:p>
        </w:tc>
        <w:tc>
          <w:tcPr>
            <w:tcW w:w="897" w:type="pct"/>
            <w:tcBorders>
              <w:top w:val="nil"/>
              <w:left w:val="nil"/>
              <w:bottom w:val="single" w:color="auto" w:sz="4" w:space="0"/>
              <w:right w:val="single" w:color="auto" w:sz="4" w:space="0"/>
            </w:tcBorders>
            <w:vAlign w:val="center"/>
          </w:tcPr>
          <w:p w14:paraId="5E0F3A8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r>
      <w:tr w14:paraId="776CF7B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95A105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72C727">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34676A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5B24FB37">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99</w:t>
            </w:r>
          </w:p>
        </w:tc>
        <w:tc>
          <w:tcPr>
            <w:tcW w:w="897" w:type="pct"/>
            <w:tcBorders>
              <w:top w:val="nil"/>
              <w:left w:val="nil"/>
              <w:bottom w:val="single" w:color="auto" w:sz="4" w:space="0"/>
              <w:right w:val="single" w:color="auto" w:sz="4" w:space="0"/>
            </w:tcBorders>
            <w:vAlign w:val="center"/>
          </w:tcPr>
          <w:p w14:paraId="579DA3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A41F1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F3CCE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C46FB79">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57F7FAB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519597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CA80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E30CE3">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7EA12AB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0563DEA8">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2735A0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58EC31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FAEE64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142CDD5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79ABA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0AFBF4C">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28A897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89EB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7BF5D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4E47D47">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2254B5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D1BAB2">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588DA41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F910E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FB84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03CCC2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52C4FE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A074E75">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60638F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9C9A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0DA0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5EF596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64878A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DCC4E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1D49A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8263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2BA40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919AA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3D21AB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B856D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2CB94C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05B46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01E9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BB83EE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FDCCE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1B4894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55FCFF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C1FE3A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8DB9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C610C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5BA2D7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DA5F3E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7E25203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37EE5601">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97</w:t>
            </w:r>
          </w:p>
        </w:tc>
        <w:tc>
          <w:tcPr>
            <w:tcW w:w="897" w:type="pct"/>
            <w:tcBorders>
              <w:top w:val="nil"/>
              <w:left w:val="nil"/>
              <w:bottom w:val="single" w:color="auto" w:sz="4" w:space="0"/>
              <w:right w:val="single" w:color="auto" w:sz="4" w:space="0"/>
            </w:tcBorders>
            <w:vAlign w:val="center"/>
          </w:tcPr>
          <w:p w14:paraId="55B2CEC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5AD2B46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E5E35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F80B5E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025979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B66F6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BC60F5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ED04D8F">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35BE8FC9">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3445FB47">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33877D1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5096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93B0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4FE72C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490D8E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BE93946">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447E39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DC9EA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2BB4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8665A9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7DC0194">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E4128D9">
            <w:pPr>
              <w:spacing w:line="240" w:lineRule="auto"/>
              <w:jc w:val="center"/>
              <w:rPr>
                <w:rFonts w:ascii="Arial" w:hAnsi="Arial" w:cs="Arial"/>
                <w:sz w:val="16"/>
                <w:szCs w:val="18"/>
              </w:rPr>
            </w:pPr>
            <w:r>
              <w:rPr>
                <w:rFonts w:hint="eastAsia" w:ascii="Arial" w:hAnsi="Arial" w:cs="Arial"/>
                <w:sz w:val="16"/>
                <w:szCs w:val="18"/>
              </w:rPr>
              <w:t>1.0306</w:t>
            </w:r>
          </w:p>
        </w:tc>
        <w:tc>
          <w:tcPr>
            <w:tcW w:w="897" w:type="pct"/>
            <w:tcBorders>
              <w:top w:val="single" w:color="auto" w:sz="4" w:space="0"/>
              <w:left w:val="nil"/>
              <w:bottom w:val="single" w:color="auto" w:sz="4" w:space="0"/>
              <w:right w:val="single" w:color="auto" w:sz="4" w:space="0"/>
            </w:tcBorders>
            <w:vAlign w:val="center"/>
          </w:tcPr>
          <w:p w14:paraId="24CC6413">
            <w:pPr>
              <w:spacing w:line="240" w:lineRule="auto"/>
              <w:jc w:val="center"/>
              <w:rPr>
                <w:rFonts w:hint="default" w:ascii="Arial" w:hAnsi="Arial" w:eastAsia="宋体" w:cs="Arial"/>
                <w:sz w:val="16"/>
                <w:szCs w:val="18"/>
                <w:lang w:val="en-US" w:eastAsia="zh-CN"/>
              </w:rPr>
            </w:pPr>
            <w:r>
              <w:rPr>
                <w:rFonts w:hint="eastAsia" w:ascii="Arial" w:hAnsi="Arial" w:cs="Arial"/>
                <w:sz w:val="16"/>
                <w:szCs w:val="18"/>
              </w:rPr>
              <w:t>0.</w:t>
            </w:r>
            <w:r>
              <w:rPr>
                <w:rFonts w:hint="eastAsia" w:ascii="Arial" w:hAnsi="Arial" w:cs="Arial"/>
                <w:sz w:val="16"/>
                <w:szCs w:val="18"/>
                <w:lang w:val="en-US" w:eastAsia="zh-CN"/>
              </w:rPr>
              <w:t>9918</w:t>
            </w:r>
          </w:p>
        </w:tc>
        <w:tc>
          <w:tcPr>
            <w:tcW w:w="897" w:type="pct"/>
            <w:tcBorders>
              <w:top w:val="single" w:color="auto" w:sz="4" w:space="0"/>
              <w:left w:val="nil"/>
              <w:bottom w:val="single" w:color="auto" w:sz="4" w:space="0"/>
              <w:right w:val="single" w:color="auto" w:sz="4" w:space="0"/>
            </w:tcBorders>
            <w:vAlign w:val="center"/>
          </w:tcPr>
          <w:p w14:paraId="175C3420">
            <w:pPr>
              <w:spacing w:line="240" w:lineRule="auto"/>
              <w:jc w:val="center"/>
              <w:rPr>
                <w:rFonts w:ascii="Arial" w:hAnsi="Arial" w:cs="Arial"/>
                <w:sz w:val="16"/>
                <w:szCs w:val="18"/>
              </w:rPr>
            </w:pPr>
            <w:r>
              <w:rPr>
                <w:rFonts w:hint="eastAsia" w:ascii="Arial" w:hAnsi="Arial" w:cs="Arial"/>
                <w:sz w:val="16"/>
                <w:szCs w:val="18"/>
              </w:rPr>
              <w:t>0.9717</w:t>
            </w:r>
          </w:p>
        </w:tc>
      </w:tr>
      <w:tr w14:paraId="2F5EAAC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07A2AD9">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C26F0E5">
            <w:pPr>
              <w:spacing w:line="240" w:lineRule="auto"/>
              <w:jc w:val="center"/>
              <w:rPr>
                <w:rFonts w:ascii="Arial" w:hAnsi="Arial" w:cs="Arial"/>
                <w:sz w:val="16"/>
                <w:szCs w:val="18"/>
              </w:rPr>
            </w:pPr>
            <w:r>
              <w:rPr>
                <w:rFonts w:hint="eastAsia" w:ascii="Arial" w:hAnsi="Arial" w:cs="Arial"/>
                <w:sz w:val="16"/>
                <w:szCs w:val="18"/>
              </w:rPr>
              <w:t>15.39</w:t>
            </w:r>
          </w:p>
        </w:tc>
        <w:tc>
          <w:tcPr>
            <w:tcW w:w="897" w:type="pct"/>
            <w:tcBorders>
              <w:top w:val="single" w:color="auto" w:sz="4" w:space="0"/>
              <w:left w:val="nil"/>
              <w:bottom w:val="single" w:color="auto" w:sz="4" w:space="0"/>
              <w:right w:val="single" w:color="auto" w:sz="4" w:space="0"/>
            </w:tcBorders>
            <w:vAlign w:val="center"/>
          </w:tcPr>
          <w:p w14:paraId="7678F047">
            <w:pPr>
              <w:spacing w:line="240" w:lineRule="auto"/>
              <w:jc w:val="center"/>
              <w:rPr>
                <w:rFonts w:hint="default" w:ascii="Arial" w:hAnsi="Arial" w:eastAsia="宋体" w:cs="Arial"/>
                <w:sz w:val="16"/>
                <w:szCs w:val="18"/>
                <w:lang w:val="en-US" w:eastAsia="zh-CN"/>
              </w:rPr>
            </w:pPr>
            <w:r>
              <w:rPr>
                <w:rFonts w:hint="eastAsia" w:ascii="Arial" w:hAnsi="Arial" w:cs="Arial"/>
                <w:sz w:val="16"/>
                <w:szCs w:val="18"/>
              </w:rPr>
              <w:t>16.</w:t>
            </w:r>
            <w:r>
              <w:rPr>
                <w:rFonts w:hint="eastAsia" w:ascii="Arial" w:hAnsi="Arial" w:cs="Arial"/>
                <w:sz w:val="16"/>
                <w:szCs w:val="18"/>
                <w:lang w:val="en-US" w:eastAsia="zh-CN"/>
              </w:rPr>
              <w:t>66</w:t>
            </w:r>
          </w:p>
        </w:tc>
        <w:tc>
          <w:tcPr>
            <w:tcW w:w="897" w:type="pct"/>
            <w:tcBorders>
              <w:top w:val="single" w:color="auto" w:sz="4" w:space="0"/>
              <w:left w:val="nil"/>
              <w:bottom w:val="single" w:color="auto" w:sz="4" w:space="0"/>
              <w:right w:val="single" w:color="auto" w:sz="4" w:space="0"/>
            </w:tcBorders>
            <w:vAlign w:val="center"/>
          </w:tcPr>
          <w:p w14:paraId="75F61719">
            <w:pPr>
              <w:spacing w:line="240" w:lineRule="auto"/>
              <w:jc w:val="center"/>
              <w:rPr>
                <w:rFonts w:ascii="Arial" w:hAnsi="Arial" w:cs="Arial"/>
                <w:sz w:val="16"/>
                <w:szCs w:val="18"/>
              </w:rPr>
            </w:pPr>
            <w:r>
              <w:rPr>
                <w:rFonts w:hint="eastAsia" w:ascii="Arial" w:hAnsi="Arial" w:cs="Arial"/>
                <w:sz w:val="16"/>
                <w:szCs w:val="18"/>
              </w:rPr>
              <w:t>15.42</w:t>
            </w:r>
          </w:p>
        </w:tc>
      </w:tr>
    </w:tbl>
    <w:p w14:paraId="7CE86640">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0BAA5E64">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1AC6F64">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3D2210E5">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2</w:t>
      </w:r>
      <w:r>
        <w:rPr>
          <w:rFonts w:hint="eastAsia" w:ascii="Arial" w:hAnsi="Arial"/>
          <w:bCs/>
          <w:sz w:val="21"/>
        </w:rPr>
        <w:t>市场租赁住房租金</w:t>
      </w:r>
      <w:r>
        <w:rPr>
          <w:rFonts w:hint="eastAsia" w:ascii="Arial" w:hAnsi="Arial"/>
          <w:sz w:val="21"/>
          <w:szCs w:val="21"/>
        </w:rPr>
        <w:t>＝（15.39+16.</w:t>
      </w:r>
      <w:r>
        <w:rPr>
          <w:rFonts w:hint="eastAsia" w:ascii="Arial" w:hAnsi="Arial"/>
          <w:sz w:val="21"/>
          <w:szCs w:val="21"/>
          <w:lang w:val="en-US" w:eastAsia="zh-CN"/>
        </w:rPr>
        <w:t>66</w:t>
      </w:r>
      <w:r>
        <w:rPr>
          <w:rFonts w:hint="eastAsia" w:ascii="Arial" w:hAnsi="Arial"/>
          <w:sz w:val="21"/>
          <w:szCs w:val="21"/>
        </w:rPr>
        <w:t>+15.42）÷</w:t>
      </w:r>
      <w:r>
        <w:rPr>
          <w:rFonts w:ascii="Arial" w:hAnsi="Arial"/>
          <w:sz w:val="21"/>
          <w:szCs w:val="21"/>
        </w:rPr>
        <w:t>3</w:t>
      </w:r>
      <w:r>
        <w:rPr>
          <w:rFonts w:hint="eastAsia" w:ascii="Arial" w:hAnsi="Arial"/>
          <w:sz w:val="21"/>
          <w:szCs w:val="21"/>
        </w:rPr>
        <w:t>+1.56</w:t>
      </w:r>
    </w:p>
    <w:p w14:paraId="4BF067FB">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＝15.</w:t>
      </w:r>
      <w:r>
        <w:rPr>
          <w:rFonts w:hint="eastAsia" w:ascii="Arial" w:hAnsi="Arial"/>
          <w:sz w:val="21"/>
          <w:szCs w:val="21"/>
          <w:lang w:val="en-US" w:eastAsia="zh-CN"/>
        </w:rPr>
        <w:t>82</w:t>
      </w:r>
      <w:r>
        <w:rPr>
          <w:rFonts w:hint="eastAsia" w:ascii="Arial" w:hAnsi="Arial"/>
          <w:sz w:val="21"/>
          <w:szCs w:val="21"/>
        </w:rPr>
        <w:t>+1.56</w:t>
      </w:r>
    </w:p>
    <w:p w14:paraId="7F313E17">
      <w:pPr>
        <w:wordWrap w:val="0"/>
        <w:overflowPunct w:val="0"/>
        <w:spacing w:line="480" w:lineRule="auto"/>
        <w:ind w:firstLine="3360" w:firstLineChars="1600"/>
        <w:rPr>
          <w:rFonts w:ascii="宋体" w:hAnsi="宋体"/>
          <w:sz w:val="21"/>
          <w:szCs w:val="21"/>
        </w:rPr>
      </w:pPr>
      <w:r>
        <w:rPr>
          <w:rFonts w:hint="eastAsia" w:ascii="Arial" w:hAnsi="Arial"/>
          <w:sz w:val="21"/>
          <w:szCs w:val="21"/>
        </w:rPr>
        <w:t>＝17.</w:t>
      </w:r>
      <w:r>
        <w:rPr>
          <w:rFonts w:hint="eastAsia" w:ascii="Arial" w:hAnsi="Arial"/>
          <w:sz w:val="21"/>
          <w:szCs w:val="21"/>
          <w:lang w:val="en-US" w:eastAsia="zh-CN"/>
        </w:rPr>
        <w:t>38</w:t>
      </w:r>
      <w:r>
        <w:rPr>
          <w:rFonts w:hint="eastAsia" w:ascii="Arial" w:hAnsi="Arial"/>
          <w:sz w:val="21"/>
          <w:szCs w:val="21"/>
        </w:rPr>
        <w:t>（元/平方米·月）</w:t>
      </w:r>
      <w:r>
        <w:rPr>
          <w:rFonts w:hint="eastAsia" w:ascii="宋体" w:hAnsi="宋体"/>
          <w:sz w:val="21"/>
          <w:szCs w:val="21"/>
        </w:rPr>
        <w:t>（含物业费、不含取暖费）</w:t>
      </w:r>
    </w:p>
    <w:p w14:paraId="2FE87C73">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w:t>
      </w:r>
      <w:r>
        <w:rPr>
          <w:rFonts w:ascii="Arial" w:hAnsi="Arial" w:cs="Arial"/>
          <w:b/>
          <w:sz w:val="21"/>
          <w:szCs w:val="21"/>
        </w:rPr>
        <w:t>3</w:t>
      </w:r>
      <w:r>
        <w:rPr>
          <w:rFonts w:hint="eastAsia" w:ascii="Arial" w:hAnsi="Arial" w:cs="Arial"/>
          <w:b/>
          <w:sz w:val="21"/>
          <w:szCs w:val="21"/>
        </w:rPr>
        <w:t>（三</w:t>
      </w:r>
      <w:r>
        <w:rPr>
          <w:rFonts w:hint="eastAsia" w:ascii="宋体" w:hAnsi="宋体"/>
          <w:b/>
          <w:sz w:val="21"/>
          <w:szCs w:val="21"/>
        </w:rPr>
        <w:t>居室标准房市场租金水平）</w:t>
      </w:r>
    </w:p>
    <w:p w14:paraId="2797294D">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C9B604F">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区及其周边</w:t>
      </w:r>
      <w:r>
        <w:rPr>
          <w:rFonts w:hint="eastAsia" w:ascii="Arial" w:hAnsi="Arial" w:cs="Arial"/>
          <w:sz w:val="21"/>
          <w:szCs w:val="21"/>
        </w:rPr>
        <w:t>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0A2421F5">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7：</w:t>
      </w:r>
    </w:p>
    <w:p w14:paraId="3A45B29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北京城建宽院国誉府</w:t>
      </w:r>
    </w:p>
    <w:p w14:paraId="411749C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大兴区采文路与育仁街交叉路口往东南约100米</w:t>
      </w:r>
    </w:p>
    <w:p w14:paraId="646BCC7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72B2D1C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6E14B2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FD4525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w:t>
      </w:r>
      <w:r>
        <w:rPr>
          <w:rFonts w:hint="eastAsia" w:ascii="Arial" w:hAnsi="Arial" w:cs="Arial"/>
          <w:kern w:val="2"/>
          <w:sz w:val="21"/>
          <w:szCs w:val="21"/>
        </w:rPr>
        <w:t>兴创荣墅、住总兴创如遇、阳光波尔多、蓝天花园、住总如院、路劲御合院等，居住小区规模一般，入住率一般，综合评价居住区成熟度一般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采风路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四</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2021</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130.96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为19.09元/平方米·月（含物业费4.38元/平方米·月、取暖费2.5元/平方米·月）。</w:t>
      </w:r>
    </w:p>
    <w:p w14:paraId="7E0FAF47">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8：</w:t>
      </w:r>
    </w:p>
    <w:p w14:paraId="0253B03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7569DC9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6966FDD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5D074BD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555589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2C3769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102.42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为20.50元/平方米·月（含物业费1.68元/平方米·月、取暖费2.5元/平方米·月）。</w:t>
      </w:r>
    </w:p>
    <w:p w14:paraId="6687809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9：</w:t>
      </w:r>
    </w:p>
    <w:p w14:paraId="7D5E44C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7B11143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65084EA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5504022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8909146">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06256DC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119.98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为22.50元/平方米·月（含物业费2.66元/平方米·月、取暖费2.5元/平方米·月）。</w:t>
      </w:r>
    </w:p>
    <w:p w14:paraId="39302362">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1BFC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F708EC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230D302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51D709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可比实例7</w:t>
            </w:r>
          </w:p>
        </w:tc>
        <w:tc>
          <w:tcPr>
            <w:tcW w:w="1812" w:type="dxa"/>
            <w:vAlign w:val="center"/>
          </w:tcPr>
          <w:p w14:paraId="74B3E0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可比实例8</w:t>
            </w:r>
          </w:p>
        </w:tc>
        <w:tc>
          <w:tcPr>
            <w:tcW w:w="1813" w:type="dxa"/>
            <w:vAlign w:val="center"/>
          </w:tcPr>
          <w:p w14:paraId="13D948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可比实例9</w:t>
            </w:r>
          </w:p>
        </w:tc>
      </w:tr>
      <w:tr w14:paraId="2F6D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0F5F1D1">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5DCC86A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3" w:type="dxa"/>
            <w:vAlign w:val="center"/>
          </w:tcPr>
          <w:p w14:paraId="4151A588">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812" w:type="dxa"/>
            <w:vAlign w:val="center"/>
          </w:tcPr>
          <w:p w14:paraId="60D47941">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813" w:type="dxa"/>
            <w:vAlign w:val="center"/>
          </w:tcPr>
          <w:p w14:paraId="00CD24A9">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1AD6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2C51C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3" w:type="dxa"/>
            <w:vAlign w:val="center"/>
          </w:tcPr>
          <w:p w14:paraId="62EADA6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0A1F3BA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19.09</w:t>
            </w:r>
          </w:p>
        </w:tc>
        <w:tc>
          <w:tcPr>
            <w:tcW w:w="1812" w:type="dxa"/>
            <w:vAlign w:val="center"/>
          </w:tcPr>
          <w:p w14:paraId="5DD5D0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20.50</w:t>
            </w:r>
          </w:p>
        </w:tc>
        <w:tc>
          <w:tcPr>
            <w:tcW w:w="1813" w:type="dxa"/>
            <w:vAlign w:val="center"/>
          </w:tcPr>
          <w:p w14:paraId="567B54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22.50</w:t>
            </w:r>
          </w:p>
        </w:tc>
      </w:tr>
      <w:tr w14:paraId="1A1A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8896A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02EBD14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w:t>
            </w:r>
            <w:r>
              <w:rPr>
                <w:rFonts w:hint="eastAsia" w:ascii="Arial" w:hAnsi="Arial" w:cs="Arial"/>
                <w:sz w:val="16"/>
                <w:szCs w:val="18"/>
                <w:lang w:val="en-US" w:eastAsia="zh-CN"/>
              </w:rPr>
              <w:t>同时</w:t>
            </w:r>
            <w:r>
              <w:rPr>
                <w:rFonts w:hint="eastAsia" w:ascii="Arial" w:hAnsi="Arial" w:cs="Arial"/>
                <w:sz w:val="16"/>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7873285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5C8DD9C9">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3" w:type="dxa"/>
            <w:vAlign w:val="center"/>
          </w:tcPr>
          <w:p w14:paraId="27C17BC0">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0519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F6552A7">
            <w:pPr>
              <w:pStyle w:val="61"/>
              <w:autoSpaceDE w:val="0"/>
              <w:autoSpaceDN w:val="0"/>
              <w:spacing w:line="240" w:lineRule="exact"/>
              <w:textAlignment w:val="bottom"/>
              <w:rPr>
                <w:rFonts w:ascii="Arial" w:hAnsi="Arial" w:cs="Arial"/>
                <w:sz w:val="16"/>
                <w:szCs w:val="18"/>
              </w:rPr>
            </w:pPr>
          </w:p>
        </w:tc>
        <w:tc>
          <w:tcPr>
            <w:tcW w:w="1813" w:type="dxa"/>
            <w:vAlign w:val="center"/>
          </w:tcPr>
          <w:p w14:paraId="5DDCB4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3" w:type="dxa"/>
            <w:vAlign w:val="center"/>
          </w:tcPr>
          <w:p w14:paraId="4E6B4C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6.88</w:t>
            </w:r>
          </w:p>
        </w:tc>
        <w:tc>
          <w:tcPr>
            <w:tcW w:w="1812" w:type="dxa"/>
            <w:vAlign w:val="center"/>
          </w:tcPr>
          <w:p w14:paraId="3A53840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4.18</w:t>
            </w:r>
          </w:p>
        </w:tc>
        <w:tc>
          <w:tcPr>
            <w:tcW w:w="1813" w:type="dxa"/>
            <w:vAlign w:val="center"/>
          </w:tcPr>
          <w:p w14:paraId="1BB3DD1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r>
      <w:tr w14:paraId="65A8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9E542F9">
            <w:pPr>
              <w:pStyle w:val="61"/>
              <w:autoSpaceDE w:val="0"/>
              <w:autoSpaceDN w:val="0"/>
              <w:spacing w:line="240" w:lineRule="exact"/>
              <w:textAlignment w:val="bottom"/>
              <w:rPr>
                <w:rFonts w:ascii="Arial" w:hAnsi="Arial" w:cs="Arial"/>
                <w:sz w:val="16"/>
                <w:szCs w:val="18"/>
              </w:rPr>
            </w:pPr>
          </w:p>
        </w:tc>
        <w:tc>
          <w:tcPr>
            <w:tcW w:w="1813" w:type="dxa"/>
            <w:vAlign w:val="center"/>
          </w:tcPr>
          <w:p w14:paraId="05C320B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3" w:type="dxa"/>
            <w:vAlign w:val="center"/>
          </w:tcPr>
          <w:p w14:paraId="2EC3F71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12" w:type="dxa"/>
            <w:vAlign w:val="center"/>
          </w:tcPr>
          <w:p w14:paraId="2E0D867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13" w:type="dxa"/>
            <w:vAlign w:val="center"/>
          </w:tcPr>
          <w:p w14:paraId="469D7EC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63B6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AFB3B7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0F015EB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160053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F2DDAE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7EAD49C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CE1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51E4586">
            <w:pPr>
              <w:pStyle w:val="61"/>
              <w:autoSpaceDE w:val="0"/>
              <w:autoSpaceDN w:val="0"/>
              <w:spacing w:line="240" w:lineRule="exact"/>
              <w:textAlignment w:val="bottom"/>
              <w:rPr>
                <w:rFonts w:ascii="Arial" w:hAnsi="Arial" w:cs="Arial"/>
                <w:sz w:val="16"/>
                <w:szCs w:val="18"/>
              </w:rPr>
            </w:pPr>
          </w:p>
        </w:tc>
        <w:tc>
          <w:tcPr>
            <w:tcW w:w="1813" w:type="dxa"/>
            <w:vAlign w:val="center"/>
          </w:tcPr>
          <w:p w14:paraId="2C448E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64B5E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24813B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243E1FC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5F8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2D0AAF1">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3F5B7FC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8FE4C6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79BE9DB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3ED3AC2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5D1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0E4CB80">
            <w:pPr>
              <w:pStyle w:val="61"/>
              <w:autoSpaceDE w:val="0"/>
              <w:autoSpaceDN w:val="0"/>
              <w:spacing w:line="240" w:lineRule="exact"/>
              <w:textAlignment w:val="bottom"/>
              <w:rPr>
                <w:rFonts w:ascii="Arial" w:hAnsi="Arial" w:cs="Arial"/>
                <w:sz w:val="16"/>
                <w:szCs w:val="18"/>
              </w:rPr>
            </w:pPr>
          </w:p>
        </w:tc>
        <w:tc>
          <w:tcPr>
            <w:tcW w:w="1813" w:type="dxa"/>
            <w:vAlign w:val="center"/>
          </w:tcPr>
          <w:p w14:paraId="2C34441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11AA2CC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1568391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C954E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778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547744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3" w:type="dxa"/>
            <w:vAlign w:val="center"/>
          </w:tcPr>
          <w:p w14:paraId="1806D3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52E8076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12" w:type="dxa"/>
            <w:vAlign w:val="center"/>
          </w:tcPr>
          <w:p w14:paraId="0E73329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13" w:type="dxa"/>
            <w:vAlign w:val="center"/>
          </w:tcPr>
          <w:p w14:paraId="276BE60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bl>
    <w:p w14:paraId="0BDAF844">
      <w:pPr>
        <w:wordWrap w:val="0"/>
        <w:overflowPunct w:val="0"/>
        <w:spacing w:line="480" w:lineRule="auto"/>
        <w:ind w:firstLine="420" w:firstLineChars="200"/>
        <w:rPr>
          <w:rFonts w:ascii="宋体" w:hAnsi="宋体"/>
          <w:sz w:val="21"/>
          <w:szCs w:val="21"/>
        </w:rPr>
      </w:pPr>
    </w:p>
    <w:p w14:paraId="7BFEA556">
      <w:pPr>
        <w:wordWrap w:val="0"/>
        <w:overflowPunct w:val="0"/>
        <w:spacing w:line="480" w:lineRule="auto"/>
        <w:ind w:firstLine="420" w:firstLineChars="200"/>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FD6F9D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5CE57319">
            <w:pPr>
              <w:jc w:val="center"/>
              <w:rPr>
                <w:rFonts w:ascii="华文细黑" w:hAnsi="华文细黑" w:eastAsia="华文细黑"/>
              </w:rPr>
            </w:pPr>
            <w:r>
              <w:rPr>
                <w:rFonts w:hint="eastAsia" w:ascii="华文细黑" w:hAnsi="华文细黑" w:eastAsia="华文细黑"/>
              </w:rPr>
              <w:t>实例位置</w:t>
            </w:r>
          </w:p>
        </w:tc>
      </w:tr>
      <w:tr w14:paraId="07FB0155">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0B9657F">
            <w:pPr>
              <w:jc w:val="center"/>
              <w:rPr>
                <w:rFonts w:ascii="Calibri" w:hAnsi="Calibri"/>
              </w:rPr>
            </w:pPr>
            <w:r>
              <w:drawing>
                <wp:inline distT="0" distB="0" distL="114300" distR="114300">
                  <wp:extent cx="5861050" cy="4114800"/>
                  <wp:effectExtent l="0" t="0" r="635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4"/>
                          <a:stretch>
                            <a:fillRect/>
                          </a:stretch>
                        </pic:blipFill>
                        <pic:spPr>
                          <a:xfrm>
                            <a:off x="0" y="0"/>
                            <a:ext cx="5861050" cy="4114800"/>
                          </a:xfrm>
                          <a:prstGeom prst="rect">
                            <a:avLst/>
                          </a:prstGeom>
                          <a:noFill/>
                          <a:ln>
                            <a:noFill/>
                          </a:ln>
                        </pic:spPr>
                      </pic:pic>
                    </a:graphicData>
                  </a:graphic>
                </wp:inline>
              </w:drawing>
            </w:r>
          </w:p>
        </w:tc>
      </w:tr>
    </w:tbl>
    <w:p w14:paraId="1DC1626C"/>
    <w:p w14:paraId="715A808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7D78A39B">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11D4C54">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59C01BB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76F8BF1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6D2E65BE">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2A1B809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2702AC4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5FC6F114">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B89CC1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D656FF1">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0DBF6E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44" w:type="dxa"/>
            <w:tcBorders>
              <w:top w:val="nil"/>
              <w:left w:val="nil"/>
              <w:bottom w:val="single" w:color="auto" w:sz="4" w:space="0"/>
              <w:right w:val="single" w:color="auto" w:sz="4" w:space="0"/>
            </w:tcBorders>
            <w:vAlign w:val="center"/>
          </w:tcPr>
          <w:p w14:paraId="327818E3">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844" w:type="dxa"/>
            <w:tcBorders>
              <w:top w:val="nil"/>
              <w:left w:val="nil"/>
              <w:bottom w:val="single" w:color="auto" w:sz="4" w:space="0"/>
              <w:right w:val="single" w:color="auto" w:sz="4" w:space="0"/>
            </w:tcBorders>
            <w:vAlign w:val="center"/>
          </w:tcPr>
          <w:p w14:paraId="19D88A17">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847" w:type="dxa"/>
            <w:tcBorders>
              <w:top w:val="nil"/>
              <w:left w:val="nil"/>
              <w:bottom w:val="single" w:color="auto" w:sz="4" w:space="0"/>
              <w:right w:val="single" w:color="auto" w:sz="4" w:space="0"/>
            </w:tcBorders>
            <w:vAlign w:val="center"/>
          </w:tcPr>
          <w:p w14:paraId="45AE022C">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4B92553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AA80486">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4D584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4E5A285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44" w:type="dxa"/>
            <w:tcBorders>
              <w:top w:val="nil"/>
              <w:left w:val="nil"/>
              <w:bottom w:val="single" w:color="auto" w:sz="4" w:space="0"/>
              <w:right w:val="single" w:color="auto" w:sz="4" w:space="0"/>
            </w:tcBorders>
            <w:vAlign w:val="center"/>
          </w:tcPr>
          <w:p w14:paraId="545B7D5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47" w:type="dxa"/>
            <w:tcBorders>
              <w:top w:val="nil"/>
              <w:left w:val="nil"/>
              <w:bottom w:val="single" w:color="auto" w:sz="4" w:space="0"/>
              <w:right w:val="single" w:color="auto" w:sz="4" w:space="0"/>
            </w:tcBorders>
            <w:vAlign w:val="center"/>
          </w:tcPr>
          <w:p w14:paraId="58B689B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08A032A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84F679C">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D544C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37ABEF5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0DFDB555">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4D15FC6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3FAB651C">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445339B">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E510CF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DC2D983">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0C1866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466AE79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E902C4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A3901C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193E06EB">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BBE1FF2">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5E0558E">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750E38E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05855265">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31D73769">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color="auto" w:sz="4" w:space="0"/>
              <w:right w:val="single" w:color="auto" w:sz="4" w:space="0"/>
            </w:tcBorders>
            <w:vAlign w:val="center"/>
          </w:tcPr>
          <w:p w14:paraId="4556D702">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3C4A3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52E7BB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25FB93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42B15E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rPr>
              <w:t>。</w:t>
            </w:r>
          </w:p>
        </w:tc>
      </w:tr>
      <w:tr w14:paraId="487A5AA5">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5364790">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AB7BB03">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B1466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4" w:type="dxa"/>
            <w:tcBorders>
              <w:top w:val="nil"/>
              <w:left w:val="nil"/>
              <w:bottom w:val="single" w:color="auto" w:sz="4" w:space="0"/>
              <w:right w:val="single" w:color="auto" w:sz="4" w:space="0"/>
            </w:tcBorders>
            <w:vAlign w:val="center"/>
          </w:tcPr>
          <w:p w14:paraId="60A580C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0A7706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7" w:type="dxa"/>
            <w:tcBorders>
              <w:top w:val="nil"/>
              <w:left w:val="nil"/>
              <w:bottom w:val="single" w:color="auto" w:sz="4" w:space="0"/>
              <w:right w:val="single" w:color="auto" w:sz="4" w:space="0"/>
            </w:tcBorders>
            <w:vAlign w:val="center"/>
          </w:tcPr>
          <w:p w14:paraId="282972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r>
      <w:tr w14:paraId="1E038CB0">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46F7B38">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B71EA24">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40DE38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3151E21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6AEE5C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7" w:type="dxa"/>
            <w:tcBorders>
              <w:top w:val="nil"/>
              <w:left w:val="nil"/>
              <w:bottom w:val="single" w:color="auto" w:sz="4" w:space="0"/>
              <w:right w:val="single" w:color="auto" w:sz="4" w:space="0"/>
            </w:tcBorders>
            <w:vAlign w:val="center"/>
          </w:tcPr>
          <w:p w14:paraId="040E31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19940261">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9C180F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7B47815">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47277E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631153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5D19D3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5FF87D1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3E8540D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EDE5233">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4320828">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091A4B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D03CF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2E77D0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5E6C7222">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53B3DA88">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16A7E073">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760C168">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F38C8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4FBC1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BA722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103E3D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r>
      <w:tr w14:paraId="4D812055">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2D8BB2B">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B0879FA">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20BC2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1B4A1F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3028564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5D62E1ED">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14:paraId="634B9F2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BE2878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23E3725">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B0D1D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6F2AB3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72EBA6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54DCDE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4F971E8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5453644">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8F61A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0DE60DD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520C27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83249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289D41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779E2306">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2BA6BC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1058617">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50B6D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728A5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6CC0BF1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0C9A2A9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r>
      <w:tr w14:paraId="4983D96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1EA6C29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2779A605">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0515EB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621697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2F83D1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07FBE9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3DF6A18C">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6065409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6608C7C2">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38A644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5E7D92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C43A22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4CC515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622C4E8B">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B497A58">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763A8BA">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23A2FB8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3AAEFA8D">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3887F07C">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5B1A68C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15BB621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459A30E">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BF6080E">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26044C45">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544662B9">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4C033863">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15BFB503">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7D329AA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C3982F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28E3BA6A">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AE2B4B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63D477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88436CA">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150BE254">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27A1D40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526C4A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AB8DE88">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5A92B7D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012146C">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0383B82F">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0" w:type="pct"/>
            <w:tcBorders>
              <w:top w:val="single" w:color="auto" w:sz="4" w:space="0"/>
              <w:left w:val="nil"/>
              <w:bottom w:val="single" w:color="auto" w:sz="4" w:space="0"/>
              <w:right w:val="single" w:color="auto" w:sz="4" w:space="0"/>
            </w:tcBorders>
            <w:vAlign w:val="center"/>
          </w:tcPr>
          <w:p w14:paraId="562A408B">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6055D496">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C8FA98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4C26AB74">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7BE33A8">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p>
        </w:tc>
        <w:tc>
          <w:tcPr>
            <w:tcW w:w="968" w:type="pct"/>
            <w:tcBorders>
              <w:top w:val="single" w:color="auto" w:sz="4" w:space="0"/>
              <w:left w:val="nil"/>
              <w:bottom w:val="single" w:color="auto" w:sz="4" w:space="0"/>
              <w:right w:val="single" w:color="auto" w:sz="4" w:space="0"/>
            </w:tcBorders>
            <w:vAlign w:val="center"/>
          </w:tcPr>
          <w:p w14:paraId="24135E90">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p>
        </w:tc>
        <w:tc>
          <w:tcPr>
            <w:tcW w:w="968" w:type="pct"/>
            <w:tcBorders>
              <w:top w:val="single" w:color="auto" w:sz="4" w:space="0"/>
              <w:left w:val="nil"/>
              <w:bottom w:val="single" w:color="auto" w:sz="4" w:space="0"/>
              <w:right w:val="single" w:color="auto" w:sz="4" w:space="0"/>
            </w:tcBorders>
            <w:vAlign w:val="center"/>
          </w:tcPr>
          <w:p w14:paraId="0F098982">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p>
        </w:tc>
        <w:tc>
          <w:tcPr>
            <w:tcW w:w="970" w:type="pct"/>
            <w:tcBorders>
              <w:top w:val="single" w:color="auto" w:sz="4" w:space="0"/>
              <w:left w:val="nil"/>
              <w:bottom w:val="single" w:color="auto" w:sz="4" w:space="0"/>
              <w:right w:val="single" w:color="auto" w:sz="4" w:space="0"/>
            </w:tcBorders>
            <w:vAlign w:val="center"/>
          </w:tcPr>
          <w:p w14:paraId="018A3229">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p>
        </w:tc>
      </w:tr>
      <w:tr w14:paraId="6AA72A43">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F60216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EB67163">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1BE88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290F3BE">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C95563E">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2253A0C">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34A66607">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1739D3C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4339014">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0BC0B8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128.85</w:t>
            </w:r>
          </w:p>
        </w:tc>
        <w:tc>
          <w:tcPr>
            <w:tcW w:w="968" w:type="pct"/>
            <w:tcBorders>
              <w:top w:val="single" w:color="auto" w:sz="4" w:space="0"/>
              <w:left w:val="nil"/>
              <w:bottom w:val="single" w:color="auto" w:sz="4" w:space="0"/>
              <w:right w:val="single" w:color="auto" w:sz="4" w:space="0"/>
            </w:tcBorders>
            <w:vAlign w:val="center"/>
          </w:tcPr>
          <w:p w14:paraId="7956C6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130.96</w:t>
            </w:r>
          </w:p>
        </w:tc>
        <w:tc>
          <w:tcPr>
            <w:tcW w:w="968" w:type="pct"/>
            <w:tcBorders>
              <w:top w:val="single" w:color="auto" w:sz="4" w:space="0"/>
              <w:left w:val="nil"/>
              <w:bottom w:val="single" w:color="auto" w:sz="4" w:space="0"/>
              <w:right w:val="single" w:color="auto" w:sz="4" w:space="0"/>
            </w:tcBorders>
            <w:vAlign w:val="center"/>
          </w:tcPr>
          <w:p w14:paraId="38BC0F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102.42</w:t>
            </w:r>
          </w:p>
        </w:tc>
        <w:tc>
          <w:tcPr>
            <w:tcW w:w="970" w:type="pct"/>
            <w:tcBorders>
              <w:top w:val="single" w:color="auto" w:sz="4" w:space="0"/>
              <w:left w:val="nil"/>
              <w:bottom w:val="single" w:color="auto" w:sz="4" w:space="0"/>
              <w:right w:val="single" w:color="auto" w:sz="4" w:space="0"/>
            </w:tcBorders>
            <w:vAlign w:val="center"/>
          </w:tcPr>
          <w:p w14:paraId="35359AA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119.98</w:t>
            </w:r>
          </w:p>
        </w:tc>
      </w:tr>
      <w:tr w14:paraId="522C02E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B512FB2">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54A874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5FF1A69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7A467F2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5CD2A6E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31CE893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64AC0DC0">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7938A589">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7B1CDC64">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3551603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8D1F1F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F9E141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20C66E5">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74C75B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A650A4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002298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7037A1D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6D484C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A6D8E7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71E1D2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1F3E315C">
      <w:pPr>
        <w:overflowPunct w:val="0"/>
        <w:spacing w:line="480" w:lineRule="auto"/>
        <w:ind w:firstLine="420" w:firstLineChars="200"/>
        <w:jc w:val="center"/>
        <w:rPr>
          <w:rFonts w:ascii="Arial" w:hAnsi="Arial"/>
          <w:sz w:val="21"/>
          <w:szCs w:val="21"/>
        </w:rPr>
      </w:pPr>
    </w:p>
    <w:p w14:paraId="5CB95659">
      <w:pPr>
        <w:overflowPunct w:val="0"/>
        <w:spacing w:line="480" w:lineRule="auto"/>
        <w:ind w:firstLine="420" w:firstLineChars="200"/>
        <w:jc w:val="center"/>
        <w:rPr>
          <w:rFonts w:ascii="Arial" w:hAnsi="Arial"/>
          <w:sz w:val="21"/>
          <w:szCs w:val="21"/>
        </w:rPr>
      </w:pPr>
    </w:p>
    <w:p w14:paraId="328B3635">
      <w:pPr>
        <w:overflowPunct w:val="0"/>
        <w:spacing w:line="480" w:lineRule="auto"/>
        <w:ind w:firstLine="420" w:firstLineChars="200"/>
        <w:jc w:val="center"/>
        <w:rPr>
          <w:rFonts w:ascii="Arial" w:hAnsi="Arial"/>
          <w:sz w:val="21"/>
          <w:szCs w:val="21"/>
        </w:rPr>
      </w:pPr>
    </w:p>
    <w:p w14:paraId="613556BB">
      <w:pPr>
        <w:overflowPunct w:val="0"/>
        <w:spacing w:line="480" w:lineRule="auto"/>
        <w:ind w:firstLine="420" w:firstLineChars="200"/>
        <w:jc w:val="center"/>
        <w:rPr>
          <w:rFonts w:ascii="Arial" w:hAnsi="Arial"/>
          <w:sz w:val="21"/>
          <w:szCs w:val="21"/>
        </w:rPr>
      </w:pPr>
    </w:p>
    <w:p w14:paraId="532B2154">
      <w:pPr>
        <w:overflowPunct w:val="0"/>
        <w:spacing w:line="480" w:lineRule="auto"/>
        <w:ind w:firstLine="420" w:firstLineChars="200"/>
        <w:jc w:val="center"/>
        <w:rPr>
          <w:rFonts w:ascii="Arial" w:hAnsi="Arial"/>
          <w:sz w:val="21"/>
          <w:szCs w:val="21"/>
        </w:rPr>
      </w:pPr>
    </w:p>
    <w:p w14:paraId="16AFA99A">
      <w:pPr>
        <w:overflowPunct w:val="0"/>
        <w:spacing w:line="480" w:lineRule="auto"/>
        <w:ind w:firstLine="420" w:firstLineChars="200"/>
        <w:jc w:val="center"/>
        <w:rPr>
          <w:rFonts w:ascii="Arial" w:hAnsi="Arial"/>
          <w:sz w:val="21"/>
          <w:szCs w:val="21"/>
        </w:rPr>
      </w:pPr>
    </w:p>
    <w:p w14:paraId="06E4F187">
      <w:pPr>
        <w:overflowPunct w:val="0"/>
        <w:spacing w:line="480" w:lineRule="auto"/>
        <w:ind w:firstLine="420" w:firstLineChars="200"/>
        <w:jc w:val="center"/>
        <w:rPr>
          <w:rFonts w:ascii="Arial" w:hAnsi="Arial"/>
          <w:sz w:val="21"/>
          <w:szCs w:val="21"/>
        </w:rPr>
      </w:pPr>
    </w:p>
    <w:p w14:paraId="55EA0DF0">
      <w:pPr>
        <w:overflowPunct w:val="0"/>
        <w:spacing w:line="480" w:lineRule="auto"/>
        <w:ind w:firstLine="420" w:firstLineChars="200"/>
        <w:jc w:val="center"/>
        <w:rPr>
          <w:rFonts w:ascii="Arial" w:hAnsi="Arial"/>
          <w:sz w:val="21"/>
          <w:szCs w:val="21"/>
        </w:rPr>
      </w:pPr>
    </w:p>
    <w:p w14:paraId="3FD7EEBF">
      <w:pPr>
        <w:overflowPunct w:val="0"/>
        <w:spacing w:line="480" w:lineRule="auto"/>
        <w:ind w:firstLine="420" w:firstLineChars="200"/>
        <w:jc w:val="center"/>
        <w:rPr>
          <w:rFonts w:ascii="Arial" w:hAnsi="Arial"/>
          <w:sz w:val="21"/>
          <w:szCs w:val="21"/>
        </w:rPr>
      </w:pPr>
    </w:p>
    <w:p w14:paraId="2F555109">
      <w:pPr>
        <w:wordWrap w:val="0"/>
        <w:overflowPunct w:val="0"/>
        <w:spacing w:line="480" w:lineRule="auto"/>
        <w:rPr>
          <w:rFonts w:ascii="Arial" w:hAnsi="Arial"/>
          <w:sz w:val="21"/>
          <w:szCs w:val="21"/>
        </w:rPr>
      </w:pPr>
    </w:p>
    <w:p w14:paraId="253B652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97189D1">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49F56E6D">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6AFDDC9E">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38060845">
            <w:pPr>
              <w:snapToGrid w:val="0"/>
              <w:spacing w:line="240" w:lineRule="exact"/>
              <w:jc w:val="right"/>
              <w:rPr>
                <w:rFonts w:ascii="宋体" w:hAnsi="宋体" w:cs="Arial"/>
                <w:sz w:val="16"/>
                <w:szCs w:val="18"/>
              </w:rPr>
            </w:pPr>
            <w:r>
              <w:rPr>
                <w:rFonts w:ascii="宋体" w:hAnsi="宋体" w:cs="Arial"/>
                <w:sz w:val="16"/>
                <w:szCs w:val="18"/>
              </w:rPr>
              <w:t>估价对象及</w:t>
            </w:r>
          </w:p>
          <w:p w14:paraId="79ABE154">
            <w:pPr>
              <w:snapToGrid w:val="0"/>
              <w:spacing w:line="240" w:lineRule="exact"/>
              <w:jc w:val="right"/>
              <w:rPr>
                <w:rFonts w:ascii="宋体" w:hAnsi="宋体" w:cs="Arial"/>
                <w:sz w:val="16"/>
                <w:szCs w:val="18"/>
              </w:rPr>
            </w:pPr>
            <w:r>
              <w:rPr>
                <w:rFonts w:ascii="宋体" w:hAnsi="宋体" w:cs="Arial"/>
                <w:sz w:val="16"/>
                <w:szCs w:val="18"/>
              </w:rPr>
              <w:t>可比实例</w:t>
            </w:r>
          </w:p>
          <w:p w14:paraId="1328250F">
            <w:pPr>
              <w:snapToGrid w:val="0"/>
              <w:spacing w:line="240" w:lineRule="exact"/>
              <w:jc w:val="both"/>
              <w:rPr>
                <w:rFonts w:ascii="宋体" w:hAnsi="宋体" w:cs="Arial"/>
                <w:sz w:val="16"/>
                <w:szCs w:val="18"/>
              </w:rPr>
            </w:pPr>
          </w:p>
          <w:p w14:paraId="30BF1A59">
            <w:pPr>
              <w:snapToGrid w:val="0"/>
              <w:spacing w:line="240" w:lineRule="exact"/>
              <w:jc w:val="both"/>
              <w:rPr>
                <w:rFonts w:ascii="宋体" w:hAnsi="宋体" w:cs="Arial"/>
                <w:sz w:val="16"/>
                <w:szCs w:val="18"/>
              </w:rPr>
            </w:pPr>
          </w:p>
          <w:p w14:paraId="6B61723B">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34A2B862">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CC6F02A">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0EDA6552">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054129D4">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2" w:type="pct"/>
            <w:tcBorders>
              <w:top w:val="single" w:color="auto" w:sz="4" w:space="0"/>
              <w:left w:val="nil"/>
              <w:bottom w:val="single" w:color="auto" w:sz="4" w:space="0"/>
              <w:right w:val="single" w:color="auto" w:sz="4" w:space="0"/>
            </w:tcBorders>
            <w:vAlign w:val="center"/>
          </w:tcPr>
          <w:p w14:paraId="6A37A3AF">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4DF644E6">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3ABE3C80">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1DCA70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988" w:type="dxa"/>
            <w:tcBorders>
              <w:top w:val="nil"/>
              <w:left w:val="nil"/>
              <w:bottom w:val="single" w:color="auto" w:sz="4" w:space="0"/>
              <w:right w:val="single" w:color="auto" w:sz="4" w:space="0"/>
            </w:tcBorders>
            <w:vAlign w:val="center"/>
          </w:tcPr>
          <w:p w14:paraId="68802A96">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988" w:type="dxa"/>
            <w:tcBorders>
              <w:top w:val="nil"/>
              <w:left w:val="nil"/>
              <w:bottom w:val="single" w:color="auto" w:sz="4" w:space="0"/>
              <w:right w:val="single" w:color="auto" w:sz="4" w:space="0"/>
            </w:tcBorders>
            <w:vAlign w:val="center"/>
          </w:tcPr>
          <w:p w14:paraId="1B4B5434">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988" w:type="dxa"/>
            <w:tcBorders>
              <w:top w:val="nil"/>
              <w:left w:val="nil"/>
              <w:bottom w:val="single" w:color="auto" w:sz="4" w:space="0"/>
              <w:right w:val="single" w:color="auto" w:sz="4" w:space="0"/>
            </w:tcBorders>
            <w:vAlign w:val="center"/>
          </w:tcPr>
          <w:p w14:paraId="188618C6">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2032" w:type="pct"/>
            <w:tcBorders>
              <w:top w:val="nil"/>
              <w:left w:val="nil"/>
              <w:bottom w:val="single" w:color="auto" w:sz="4" w:space="0"/>
              <w:right w:val="single" w:color="auto" w:sz="4" w:space="0"/>
            </w:tcBorders>
            <w:vAlign w:val="center"/>
          </w:tcPr>
          <w:p w14:paraId="2FE0D79D">
            <w:pPr>
              <w:snapToGrid w:val="0"/>
              <w:spacing w:line="240" w:lineRule="exact"/>
              <w:jc w:val="both"/>
              <w:rPr>
                <w:rFonts w:ascii="宋体" w:hAnsi="宋体" w:cs="Arial"/>
                <w:sz w:val="16"/>
                <w:szCs w:val="18"/>
              </w:rPr>
            </w:pPr>
            <w:r>
              <w:rPr>
                <w:rFonts w:ascii="宋体" w:hAnsi="宋体" w:cs="Arial"/>
                <w:sz w:val="16"/>
                <w:szCs w:val="18"/>
              </w:rPr>
              <w:t>——</w:t>
            </w:r>
          </w:p>
        </w:tc>
      </w:tr>
      <w:tr w14:paraId="0C3F075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60A8AACF">
            <w:pPr>
              <w:snapToGrid w:val="0"/>
              <w:spacing w:line="240" w:lineRule="exact"/>
              <w:jc w:val="both"/>
              <w:rPr>
                <w:rFonts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44091649">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988" w:type="dxa"/>
            <w:tcBorders>
              <w:top w:val="nil"/>
              <w:left w:val="nil"/>
              <w:bottom w:val="single" w:color="auto" w:sz="4" w:space="0"/>
              <w:right w:val="single" w:color="auto" w:sz="4" w:space="0"/>
            </w:tcBorders>
            <w:noWrap/>
            <w:vAlign w:val="center"/>
          </w:tcPr>
          <w:p w14:paraId="48F46096">
            <w:pPr>
              <w:autoSpaceDE w:val="0"/>
              <w:autoSpaceDN w:val="0"/>
              <w:spacing w:line="240" w:lineRule="exact"/>
              <w:textAlignment w:val="bottom"/>
              <w:rPr>
                <w:rFonts w:ascii="Arial" w:hAnsi="Arial" w:cs="Arial"/>
                <w:sz w:val="16"/>
                <w:szCs w:val="18"/>
              </w:rPr>
            </w:pPr>
            <w:r>
              <w:rPr>
                <w:rFonts w:hint="eastAsia" w:ascii="Arial" w:hAnsi="Arial" w:cs="Arial"/>
                <w:sz w:val="16"/>
                <w:szCs w:val="18"/>
              </w:rPr>
              <w:t>12.21</w:t>
            </w:r>
          </w:p>
        </w:tc>
        <w:tc>
          <w:tcPr>
            <w:tcW w:w="988" w:type="dxa"/>
            <w:tcBorders>
              <w:top w:val="nil"/>
              <w:left w:val="nil"/>
              <w:bottom w:val="single" w:color="auto" w:sz="4" w:space="0"/>
              <w:right w:val="single" w:color="auto" w:sz="4" w:space="0"/>
            </w:tcBorders>
            <w:noWrap/>
            <w:vAlign w:val="center"/>
          </w:tcPr>
          <w:p w14:paraId="30932FB3">
            <w:pPr>
              <w:autoSpaceDE w:val="0"/>
              <w:autoSpaceDN w:val="0"/>
              <w:spacing w:line="240" w:lineRule="exact"/>
              <w:textAlignment w:val="bottom"/>
              <w:rPr>
                <w:rFonts w:ascii="Arial" w:hAnsi="Arial" w:cs="Arial"/>
                <w:sz w:val="16"/>
                <w:szCs w:val="18"/>
              </w:rPr>
            </w:pPr>
            <w:r>
              <w:rPr>
                <w:rFonts w:hint="eastAsia" w:ascii="Arial" w:hAnsi="Arial" w:cs="Arial"/>
                <w:sz w:val="16"/>
                <w:szCs w:val="18"/>
              </w:rPr>
              <w:t>16.32</w:t>
            </w:r>
          </w:p>
        </w:tc>
        <w:tc>
          <w:tcPr>
            <w:tcW w:w="988" w:type="dxa"/>
            <w:tcBorders>
              <w:top w:val="nil"/>
              <w:left w:val="nil"/>
              <w:bottom w:val="single" w:color="auto" w:sz="4" w:space="0"/>
              <w:right w:val="single" w:color="auto" w:sz="4" w:space="0"/>
            </w:tcBorders>
            <w:noWrap/>
            <w:vAlign w:val="center"/>
          </w:tcPr>
          <w:p w14:paraId="2BE90526">
            <w:pPr>
              <w:autoSpaceDE w:val="0"/>
              <w:autoSpaceDN w:val="0"/>
              <w:spacing w:line="240" w:lineRule="exact"/>
              <w:textAlignment w:val="bottom"/>
              <w:rPr>
                <w:rFonts w:ascii="Arial" w:hAnsi="Arial" w:cs="Arial"/>
                <w:sz w:val="16"/>
                <w:szCs w:val="18"/>
              </w:rPr>
            </w:pPr>
            <w:r>
              <w:rPr>
                <w:rFonts w:hint="eastAsia" w:ascii="Arial" w:hAnsi="Arial" w:cs="Arial"/>
                <w:sz w:val="16"/>
                <w:szCs w:val="18"/>
              </w:rPr>
              <w:t>17.34</w:t>
            </w:r>
          </w:p>
        </w:tc>
        <w:tc>
          <w:tcPr>
            <w:tcW w:w="2032" w:type="pct"/>
            <w:tcBorders>
              <w:top w:val="nil"/>
              <w:left w:val="nil"/>
              <w:bottom w:val="single" w:color="auto" w:sz="4" w:space="0"/>
              <w:right w:val="single" w:color="auto" w:sz="4" w:space="0"/>
            </w:tcBorders>
            <w:vAlign w:val="center"/>
          </w:tcPr>
          <w:p w14:paraId="516470C8">
            <w:pPr>
              <w:snapToGrid w:val="0"/>
              <w:spacing w:line="240" w:lineRule="exact"/>
              <w:jc w:val="both"/>
              <w:rPr>
                <w:rFonts w:ascii="宋体" w:hAnsi="宋体" w:cs="Arial"/>
                <w:sz w:val="16"/>
                <w:szCs w:val="18"/>
              </w:rPr>
            </w:pPr>
            <w:r>
              <w:rPr>
                <w:rFonts w:ascii="宋体" w:hAnsi="宋体" w:cs="Arial"/>
                <w:sz w:val="16"/>
                <w:szCs w:val="18"/>
              </w:rPr>
              <w:t>——</w:t>
            </w:r>
          </w:p>
        </w:tc>
      </w:tr>
      <w:tr w14:paraId="162FB01D">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0EFFAFA">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E2007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35F5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FAC7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A1A1B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C620F1E">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35843FA4">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390A7AF">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49A38A7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2568E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5C70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56BDA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4B2E441">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D50E0E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D54B05D">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629339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8216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EEF6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C4A80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B01CA0E">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572A8C33">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7973146">
            <w:pPr>
              <w:snapToGrid w:val="0"/>
              <w:spacing w:line="240" w:lineRule="exact"/>
              <w:jc w:val="both"/>
              <w:rPr>
                <w:rFonts w:ascii="宋体" w:hAnsi="宋体" w:cs="Arial"/>
                <w:sz w:val="16"/>
                <w:szCs w:val="18"/>
              </w:rPr>
            </w:pPr>
            <w:r>
              <w:rPr>
                <w:rFonts w:ascii="宋体" w:hAnsi="宋体" w:cs="Arial"/>
                <w:sz w:val="16"/>
                <w:szCs w:val="18"/>
              </w:rPr>
              <w:t>区域</w:t>
            </w:r>
          </w:p>
          <w:p w14:paraId="151755F7">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48F75D9">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6C8FCB4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84B09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C9CC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1D480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A25F193">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460D294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72A562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6BD66D">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3259B7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4FB7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7BC2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5E179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792B2B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387BDD5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4EB9C4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8A63B5">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40C4D5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F704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7454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5AAF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C98BB0">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2AFBE46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90505C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6937F">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6C70EE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B83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637C8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95D71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16F6DB8">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FCDABC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4C44C4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72DD1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33E008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8CB1C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35D7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13812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840554">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291DD6A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4BEA25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5A671C9">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452AFD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6E1D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736E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ED3357">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4CC0F6D">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54B8BA5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B789F4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4C5117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2ADB72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05C32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77C5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E347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AFE7B0A">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306ABD6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49D9D9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975421C">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5C9A66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2C83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8120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10BA8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FE4F20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6E3C2D6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8DA8F0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44E79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92284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1A32C7">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05</w:t>
            </w:r>
          </w:p>
        </w:tc>
        <w:tc>
          <w:tcPr>
            <w:tcW w:w="531" w:type="pct"/>
            <w:tcBorders>
              <w:top w:val="nil"/>
              <w:left w:val="nil"/>
              <w:bottom w:val="single" w:color="auto" w:sz="4" w:space="0"/>
              <w:right w:val="single" w:color="auto" w:sz="4" w:space="0"/>
            </w:tcBorders>
            <w:noWrap/>
            <w:vAlign w:val="center"/>
          </w:tcPr>
          <w:p w14:paraId="08105277">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5</w:t>
            </w:r>
          </w:p>
        </w:tc>
        <w:tc>
          <w:tcPr>
            <w:tcW w:w="531" w:type="pct"/>
            <w:tcBorders>
              <w:top w:val="nil"/>
              <w:left w:val="nil"/>
              <w:bottom w:val="single" w:color="auto" w:sz="4" w:space="0"/>
              <w:right w:val="single" w:color="auto" w:sz="4" w:space="0"/>
            </w:tcBorders>
            <w:noWrap/>
            <w:vAlign w:val="center"/>
          </w:tcPr>
          <w:p w14:paraId="5DDF867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49806A08">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105</w:t>
            </w:r>
            <w:r>
              <w:rPr>
                <w:rFonts w:ascii="Arial" w:hAnsi="Arial" w:cs="Arial"/>
                <w:sz w:val="16"/>
                <w:szCs w:val="18"/>
              </w:rPr>
              <w:t>、</w:t>
            </w:r>
            <w:r>
              <w:rPr>
                <w:rFonts w:hint="eastAsia" w:ascii="Arial" w:hAnsi="Arial" w:cs="Arial"/>
                <w:sz w:val="16"/>
                <w:szCs w:val="18"/>
              </w:rPr>
              <w:t>105</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2198871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4EDBB4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8993943">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02FEB7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F121DD">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75A7C5FA">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6D532F">
            <w:pPr>
              <w:snapToGrid w:val="0"/>
              <w:spacing w:line="240" w:lineRule="exact"/>
              <w:jc w:val="both"/>
              <w:rPr>
                <w:rFonts w:ascii="Arial" w:hAnsi="Arial" w:cs="Arial"/>
                <w:sz w:val="16"/>
                <w:szCs w:val="18"/>
              </w:rPr>
            </w:pPr>
            <w:r>
              <w:rPr>
                <w:rFonts w:hint="eastAsia" w:ascii="Arial" w:hAnsi="Arial" w:cs="Arial"/>
                <w:sz w:val="16"/>
                <w:szCs w:val="18"/>
              </w:rPr>
              <w:t>99</w:t>
            </w:r>
          </w:p>
        </w:tc>
        <w:tc>
          <w:tcPr>
            <w:tcW w:w="2032" w:type="pct"/>
            <w:tcBorders>
              <w:top w:val="nil"/>
              <w:left w:val="nil"/>
              <w:bottom w:val="single" w:color="auto" w:sz="4" w:space="0"/>
              <w:right w:val="single" w:color="auto" w:sz="4" w:space="0"/>
            </w:tcBorders>
            <w:vAlign w:val="center"/>
          </w:tcPr>
          <w:p w14:paraId="356E539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99</w:t>
            </w:r>
            <w:r>
              <w:rPr>
                <w:rFonts w:ascii="Arial" w:hAnsi="Arial" w:cs="Arial"/>
                <w:sz w:val="16"/>
                <w:szCs w:val="18"/>
              </w:rPr>
              <w:t>；</w:t>
            </w:r>
          </w:p>
        </w:tc>
      </w:tr>
      <w:tr w14:paraId="767A271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6B29D0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FFE175">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453B1D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546227">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AC66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6452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4C0D4D5">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0989B606">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9AB1527">
            <w:pPr>
              <w:snapToGrid w:val="0"/>
              <w:spacing w:line="240" w:lineRule="exact"/>
              <w:jc w:val="both"/>
              <w:rPr>
                <w:rFonts w:ascii="宋体" w:hAnsi="宋体" w:cs="Arial"/>
                <w:sz w:val="16"/>
                <w:szCs w:val="18"/>
              </w:rPr>
            </w:pPr>
            <w:r>
              <w:rPr>
                <w:rFonts w:ascii="宋体" w:hAnsi="宋体" w:cs="Arial"/>
                <w:sz w:val="16"/>
                <w:szCs w:val="18"/>
              </w:rPr>
              <w:t>实物</w:t>
            </w:r>
          </w:p>
          <w:p w14:paraId="5E20A2EB">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22196249">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CBA8F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3BEC8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0C0D910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B423F1">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E5236D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101、100、100</w:t>
            </w:r>
            <w:r>
              <w:rPr>
                <w:rFonts w:ascii="Arial" w:hAnsi="Arial" w:cs="Arial"/>
                <w:sz w:val="16"/>
                <w:szCs w:val="18"/>
              </w:rPr>
              <w:t>；</w:t>
            </w:r>
          </w:p>
        </w:tc>
      </w:tr>
      <w:tr w14:paraId="0238971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193A37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C7DF8D">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CE141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254B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2E3BF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46600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0D8B6C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100，每级相差2分，确定可比实例1、2、3该因素指数分别为100、100、100；</w:t>
            </w:r>
          </w:p>
        </w:tc>
      </w:tr>
      <w:tr w14:paraId="6E9BD22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8F7840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5C50C0C">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7B7260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D327F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A182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7C7B9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A9F2FD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10D5AC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7E41F4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8E419">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3A5A3E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2A35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AE0D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F55FB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826902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BA3549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318A8A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5CF102">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1AA9B3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085B6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8387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B1040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D753862">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034C97D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03A45B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C4EF6BB">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1FB4332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B12B8CA">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519C51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D5C578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9BF48D6">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98、100、100</w:t>
            </w:r>
            <w:r>
              <w:rPr>
                <w:rFonts w:ascii="Arial" w:hAnsi="Arial" w:cs="Arial"/>
                <w:sz w:val="16"/>
                <w:szCs w:val="18"/>
              </w:rPr>
              <w:t>；</w:t>
            </w:r>
          </w:p>
        </w:tc>
      </w:tr>
      <w:tr w14:paraId="0CC8342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129574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7E50BF4">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126AC8A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E30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5AD2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79C0B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CBD04E0">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0349B21E">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A77F16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BEBAFAD">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81F71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C4F8B0">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20F5726F">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601E55AE">
            <w:pPr>
              <w:snapToGrid w:val="0"/>
              <w:spacing w:line="240" w:lineRule="exact"/>
              <w:jc w:val="both"/>
              <w:rPr>
                <w:rFonts w:ascii="Arial" w:hAnsi="Arial" w:cs="Arial"/>
                <w:sz w:val="16"/>
                <w:szCs w:val="18"/>
              </w:rPr>
            </w:pPr>
            <w:r>
              <w:rPr>
                <w:rFonts w:hint="eastAsia" w:ascii="Arial" w:hAnsi="Arial" w:cs="Arial"/>
                <w:sz w:val="16"/>
                <w:szCs w:val="18"/>
              </w:rPr>
              <w:t>101</w:t>
            </w:r>
          </w:p>
        </w:tc>
        <w:tc>
          <w:tcPr>
            <w:tcW w:w="2032" w:type="pct"/>
            <w:tcBorders>
              <w:top w:val="nil"/>
              <w:left w:val="nil"/>
              <w:bottom w:val="single" w:color="auto" w:sz="4" w:space="0"/>
              <w:right w:val="single" w:color="auto" w:sz="4" w:space="0"/>
            </w:tcBorders>
            <w:vAlign w:val="center"/>
          </w:tcPr>
          <w:p w14:paraId="164F044E">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99、102、101</w:t>
            </w:r>
            <w:r>
              <w:rPr>
                <w:rFonts w:ascii="Arial" w:hAnsi="Arial" w:cs="Arial"/>
                <w:sz w:val="16"/>
                <w:szCs w:val="18"/>
              </w:rPr>
              <w:t>；</w:t>
            </w:r>
          </w:p>
        </w:tc>
      </w:tr>
      <w:tr w14:paraId="467F2AB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4361C9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F25B07">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6B077F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D398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70763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5A7BC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21E0AFC">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030D769E">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3E2C6D96">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54C3F031">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6287F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FF79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CF05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87CF0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AE6FF3">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21CA518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79A4B7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A02E50">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2C3DCA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868B41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8A67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E5B9C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56AEB97">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27B87C34">
      <w:pPr>
        <w:wordWrap w:val="0"/>
        <w:overflowPunct w:val="0"/>
        <w:spacing w:line="480" w:lineRule="auto"/>
        <w:rPr>
          <w:rFonts w:ascii="Arial" w:hAnsi="Arial"/>
          <w:sz w:val="21"/>
          <w:szCs w:val="21"/>
        </w:rPr>
      </w:pPr>
    </w:p>
    <w:p w14:paraId="3A3F171E">
      <w:pPr>
        <w:wordWrap w:val="0"/>
        <w:overflowPunct w:val="0"/>
        <w:spacing w:line="480" w:lineRule="auto"/>
        <w:rPr>
          <w:rFonts w:ascii="Arial" w:hAnsi="Arial"/>
          <w:sz w:val="21"/>
          <w:szCs w:val="21"/>
        </w:rPr>
      </w:pPr>
    </w:p>
    <w:p w14:paraId="2D74F637">
      <w:pPr>
        <w:wordWrap w:val="0"/>
        <w:overflowPunct w:val="0"/>
        <w:spacing w:line="480" w:lineRule="auto"/>
        <w:rPr>
          <w:rFonts w:ascii="Arial" w:hAnsi="Arial"/>
          <w:sz w:val="21"/>
          <w:szCs w:val="21"/>
        </w:rPr>
      </w:pPr>
    </w:p>
    <w:p w14:paraId="02C70B50">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6646FEDC">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3940B79">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20C694D">
        <w:tblPrEx>
          <w:tblCellMar>
            <w:top w:w="0" w:type="dxa"/>
            <w:left w:w="108" w:type="dxa"/>
            <w:bottom w:w="0" w:type="dxa"/>
            <w:right w:w="108" w:type="dxa"/>
          </w:tblCellMar>
        </w:tblPrEx>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7327E7F">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3D915E2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3138B26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4A15AC9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6346F13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5A0116">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637A522E">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707" w:type="dxa"/>
            <w:tcBorders>
              <w:top w:val="nil"/>
              <w:left w:val="nil"/>
              <w:bottom w:val="single" w:color="auto" w:sz="4" w:space="0"/>
              <w:right w:val="single" w:color="auto" w:sz="4" w:space="0"/>
            </w:tcBorders>
            <w:vAlign w:val="center"/>
          </w:tcPr>
          <w:p w14:paraId="6541361D">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708" w:type="dxa"/>
            <w:tcBorders>
              <w:top w:val="nil"/>
              <w:left w:val="nil"/>
              <w:bottom w:val="single" w:color="auto" w:sz="4" w:space="0"/>
              <w:right w:val="single" w:color="auto" w:sz="4" w:space="0"/>
            </w:tcBorders>
            <w:vAlign w:val="center"/>
          </w:tcPr>
          <w:p w14:paraId="42D25F80">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22451B7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64F8B4C">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3145B39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707" w:type="dxa"/>
            <w:tcBorders>
              <w:top w:val="nil"/>
              <w:left w:val="nil"/>
              <w:bottom w:val="single" w:color="auto" w:sz="4" w:space="0"/>
              <w:right w:val="single" w:color="auto" w:sz="4" w:space="0"/>
            </w:tcBorders>
            <w:vAlign w:val="center"/>
          </w:tcPr>
          <w:p w14:paraId="234907F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708" w:type="dxa"/>
            <w:tcBorders>
              <w:top w:val="nil"/>
              <w:left w:val="nil"/>
              <w:bottom w:val="single" w:color="auto" w:sz="4" w:space="0"/>
              <w:right w:val="single" w:color="auto" w:sz="4" w:space="0"/>
            </w:tcBorders>
            <w:vAlign w:val="center"/>
          </w:tcPr>
          <w:p w14:paraId="086DD01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750B66E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2F6D07B">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EAEA2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0096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14852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67804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C18D4C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AB990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C7EC1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10645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132C5F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D9B1EB9">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7481794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681105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2549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52EF77">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5DD6ACA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29B6C92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44D42B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64CE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E5F89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AEABA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7EE57B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915327B">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2A7DC2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A1204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45FA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A06746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B0C0AC">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05CD3DA">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0EAD46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355F93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D363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4E2ECA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A391C0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70ED93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38C5A5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39CA9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E355B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58E6D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23468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3DF1502">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B73881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73D01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A25A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3F2D5E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775B8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141E9CD">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4CC1B2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1A81B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33321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753407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F940D5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29256F8">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396981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BF81F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05EF8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AAE7D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1692B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8DF47D5">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13D229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A916C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DFF0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0C556E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F6BF4D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B03DEFD">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5801089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1707" w:type="dxa"/>
            <w:tcBorders>
              <w:top w:val="nil"/>
              <w:left w:val="nil"/>
              <w:bottom w:val="single" w:color="auto" w:sz="4" w:space="0"/>
              <w:right w:val="single" w:color="auto" w:sz="4" w:space="0"/>
            </w:tcBorders>
            <w:vAlign w:val="center"/>
          </w:tcPr>
          <w:p w14:paraId="76546B2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1708" w:type="dxa"/>
            <w:tcBorders>
              <w:top w:val="nil"/>
              <w:left w:val="nil"/>
              <w:bottom w:val="single" w:color="auto" w:sz="4" w:space="0"/>
              <w:right w:val="single" w:color="auto" w:sz="4" w:space="0"/>
            </w:tcBorders>
            <w:vAlign w:val="center"/>
          </w:tcPr>
          <w:p w14:paraId="0A868FB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3696B3D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6B033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3BAE71B">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515FEC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8DF13E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707B595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2E9E653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CE9D9D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CB95C2B">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562AE82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06762D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7F38D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3EDFB96">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2556E3D6">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18166179">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3086D26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025675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A952B6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3C8E4FF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D06F08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089A8AE">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B3F51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75040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E25A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6B8D540">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634B495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4A3D36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0628E1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A25C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839D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A167A2E">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3CFDD7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CC74571">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3FF809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8355F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74B02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C5BC3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889559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B4EEB9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C5659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0696D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8BEE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752A9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32FF8B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FD5952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0DFD5DE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4A890C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A0F3A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C9860D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DC8225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DD5CC8D">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3BEA57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BE4B6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5018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13ADA1">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86DAE7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4AD80F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365A61A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76EBE76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26567CC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r>
      <w:tr w14:paraId="6188822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2C328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8A15D74">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63267A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1DB4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437BA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54E0B9">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17900E65">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7693929A">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3D301D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B1CAE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C953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DD766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F52555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CA424B7">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7AFE17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2E8E06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0738C6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91DFAA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5F6AC84">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00EBE6A9">
            <w:pPr>
              <w:spacing w:line="240" w:lineRule="auto"/>
              <w:jc w:val="center"/>
              <w:rPr>
                <w:rFonts w:ascii="Arial" w:hAnsi="Arial" w:cs="Arial"/>
                <w:sz w:val="16"/>
                <w:szCs w:val="18"/>
              </w:rPr>
            </w:pPr>
            <w:r>
              <w:rPr>
                <w:rFonts w:hint="eastAsia" w:ascii="Arial" w:hAnsi="Arial" w:cs="Arial"/>
                <w:sz w:val="16"/>
                <w:szCs w:val="18"/>
              </w:rPr>
              <w:t>0.9817</w:t>
            </w:r>
          </w:p>
        </w:tc>
        <w:tc>
          <w:tcPr>
            <w:tcW w:w="897" w:type="pct"/>
            <w:tcBorders>
              <w:top w:val="single" w:color="auto" w:sz="4" w:space="0"/>
              <w:left w:val="nil"/>
              <w:bottom w:val="single" w:color="auto" w:sz="4" w:space="0"/>
              <w:right w:val="single" w:color="auto" w:sz="4" w:space="0"/>
            </w:tcBorders>
            <w:vAlign w:val="center"/>
          </w:tcPr>
          <w:p w14:paraId="31E9F075">
            <w:pPr>
              <w:spacing w:line="240" w:lineRule="auto"/>
              <w:jc w:val="center"/>
              <w:rPr>
                <w:rFonts w:ascii="Arial" w:hAnsi="Arial" w:cs="Arial"/>
                <w:sz w:val="16"/>
                <w:szCs w:val="18"/>
              </w:rPr>
            </w:pPr>
            <w:r>
              <w:rPr>
                <w:rFonts w:hint="eastAsia" w:ascii="Arial" w:hAnsi="Arial" w:cs="Arial"/>
                <w:sz w:val="16"/>
                <w:szCs w:val="18"/>
              </w:rPr>
              <w:t>0.9337</w:t>
            </w:r>
          </w:p>
        </w:tc>
        <w:tc>
          <w:tcPr>
            <w:tcW w:w="897" w:type="pct"/>
            <w:tcBorders>
              <w:top w:val="single" w:color="auto" w:sz="4" w:space="0"/>
              <w:left w:val="nil"/>
              <w:bottom w:val="single" w:color="auto" w:sz="4" w:space="0"/>
              <w:right w:val="single" w:color="auto" w:sz="4" w:space="0"/>
            </w:tcBorders>
            <w:vAlign w:val="center"/>
          </w:tcPr>
          <w:p w14:paraId="5E2630D2">
            <w:pPr>
              <w:spacing w:line="240" w:lineRule="auto"/>
              <w:jc w:val="center"/>
              <w:rPr>
                <w:rFonts w:ascii="Arial" w:hAnsi="Arial" w:cs="Arial"/>
                <w:sz w:val="16"/>
                <w:szCs w:val="18"/>
              </w:rPr>
            </w:pPr>
            <w:r>
              <w:rPr>
                <w:rFonts w:hint="eastAsia" w:ascii="Arial" w:hAnsi="Arial" w:cs="Arial"/>
                <w:sz w:val="16"/>
                <w:szCs w:val="18"/>
              </w:rPr>
              <w:t>0.9525</w:t>
            </w:r>
          </w:p>
        </w:tc>
      </w:tr>
      <w:tr w14:paraId="31077F3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9F0AF26">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021828C">
            <w:pPr>
              <w:spacing w:line="240" w:lineRule="auto"/>
              <w:jc w:val="center"/>
              <w:rPr>
                <w:rFonts w:ascii="Arial" w:hAnsi="Arial" w:cs="Arial"/>
                <w:sz w:val="16"/>
                <w:szCs w:val="18"/>
              </w:rPr>
            </w:pPr>
            <w:r>
              <w:rPr>
                <w:rFonts w:hint="eastAsia" w:ascii="Arial" w:hAnsi="Arial" w:cs="Arial"/>
                <w:sz w:val="16"/>
                <w:szCs w:val="18"/>
              </w:rPr>
              <w:t>11.99</w:t>
            </w:r>
          </w:p>
        </w:tc>
        <w:tc>
          <w:tcPr>
            <w:tcW w:w="897" w:type="pct"/>
            <w:tcBorders>
              <w:top w:val="single" w:color="auto" w:sz="4" w:space="0"/>
              <w:left w:val="nil"/>
              <w:bottom w:val="single" w:color="auto" w:sz="4" w:space="0"/>
              <w:right w:val="single" w:color="auto" w:sz="4" w:space="0"/>
            </w:tcBorders>
            <w:vAlign w:val="center"/>
          </w:tcPr>
          <w:p w14:paraId="59CFE504">
            <w:pPr>
              <w:spacing w:line="240" w:lineRule="auto"/>
              <w:jc w:val="center"/>
              <w:rPr>
                <w:rFonts w:ascii="Arial" w:hAnsi="Arial" w:cs="Arial"/>
                <w:sz w:val="16"/>
                <w:szCs w:val="18"/>
              </w:rPr>
            </w:pPr>
            <w:r>
              <w:rPr>
                <w:rFonts w:hint="eastAsia" w:ascii="Arial" w:hAnsi="Arial" w:cs="Arial"/>
                <w:sz w:val="16"/>
                <w:szCs w:val="18"/>
              </w:rPr>
              <w:t>15.24</w:t>
            </w:r>
          </w:p>
        </w:tc>
        <w:tc>
          <w:tcPr>
            <w:tcW w:w="897" w:type="pct"/>
            <w:tcBorders>
              <w:top w:val="single" w:color="auto" w:sz="4" w:space="0"/>
              <w:left w:val="nil"/>
              <w:bottom w:val="single" w:color="auto" w:sz="4" w:space="0"/>
              <w:right w:val="single" w:color="auto" w:sz="4" w:space="0"/>
            </w:tcBorders>
            <w:vAlign w:val="center"/>
          </w:tcPr>
          <w:p w14:paraId="13CE059E">
            <w:pPr>
              <w:spacing w:line="240" w:lineRule="auto"/>
              <w:jc w:val="center"/>
              <w:rPr>
                <w:rFonts w:ascii="Arial" w:hAnsi="Arial" w:cs="Arial"/>
                <w:sz w:val="16"/>
                <w:szCs w:val="18"/>
              </w:rPr>
            </w:pPr>
            <w:r>
              <w:rPr>
                <w:rFonts w:hint="eastAsia" w:ascii="Arial" w:hAnsi="Arial" w:cs="Arial"/>
                <w:sz w:val="16"/>
                <w:szCs w:val="18"/>
              </w:rPr>
              <w:t>16.52</w:t>
            </w:r>
          </w:p>
        </w:tc>
      </w:tr>
    </w:tbl>
    <w:p w14:paraId="57E891AC">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4D93D7C6">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38926EB5">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C520C66">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3</w:t>
      </w:r>
      <w:r>
        <w:rPr>
          <w:rFonts w:hint="eastAsia" w:ascii="Arial" w:hAnsi="Arial"/>
          <w:bCs/>
          <w:sz w:val="21"/>
        </w:rPr>
        <w:t>市场租赁住房租金</w:t>
      </w:r>
      <w:r>
        <w:rPr>
          <w:rFonts w:hint="eastAsia" w:ascii="Arial" w:hAnsi="Arial"/>
          <w:sz w:val="21"/>
          <w:szCs w:val="21"/>
        </w:rPr>
        <w:t>＝（11.99+15.24+16.32）÷</w:t>
      </w:r>
      <w:r>
        <w:rPr>
          <w:rFonts w:ascii="Arial" w:hAnsi="Arial"/>
          <w:sz w:val="21"/>
          <w:szCs w:val="21"/>
        </w:rPr>
        <w:t>3</w:t>
      </w:r>
      <w:r>
        <w:rPr>
          <w:rFonts w:hint="eastAsia" w:ascii="Arial" w:hAnsi="Arial"/>
          <w:sz w:val="21"/>
          <w:szCs w:val="21"/>
        </w:rPr>
        <w:t>+1.56</w:t>
      </w:r>
    </w:p>
    <w:p w14:paraId="4A06E2EF">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＝14.58+1.56</w:t>
      </w:r>
    </w:p>
    <w:p w14:paraId="77DD64F5">
      <w:pPr>
        <w:wordWrap w:val="0"/>
        <w:overflowPunct w:val="0"/>
        <w:spacing w:line="480" w:lineRule="auto"/>
        <w:ind w:firstLine="3360" w:firstLineChars="1600"/>
        <w:rPr>
          <w:rFonts w:ascii="宋体" w:hAnsi="宋体"/>
          <w:sz w:val="21"/>
          <w:szCs w:val="21"/>
        </w:rPr>
      </w:pPr>
      <w:r>
        <w:rPr>
          <w:rFonts w:hint="eastAsia" w:ascii="Arial" w:hAnsi="Arial"/>
          <w:sz w:val="21"/>
          <w:szCs w:val="21"/>
        </w:rPr>
        <w:t>＝16.14（元/平方米·月）</w:t>
      </w:r>
      <w:r>
        <w:rPr>
          <w:rFonts w:hint="eastAsia" w:ascii="宋体" w:hAnsi="宋体"/>
          <w:sz w:val="21"/>
          <w:szCs w:val="21"/>
        </w:rPr>
        <w:t>（含物业费、不含取暖费）</w:t>
      </w:r>
    </w:p>
    <w:p w14:paraId="621DD2D7">
      <w:pPr>
        <w:wordWrap w:val="0"/>
        <w:overflowPunct w:val="0"/>
        <w:spacing w:line="480" w:lineRule="auto"/>
        <w:ind w:firstLine="420" w:firstLineChars="200"/>
        <w:rPr>
          <w:kern w:val="2"/>
          <w:sz w:val="21"/>
          <w:szCs w:val="21"/>
        </w:rPr>
      </w:pPr>
      <w:bookmarkStart w:id="72" w:name="_Toc155267108"/>
      <w:bookmarkStart w:id="73" w:name="_Toc525655441"/>
    </w:p>
    <w:p w14:paraId="32A0B0FF">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2"/>
      <w:bookmarkEnd w:id="73"/>
    </w:p>
    <w:p w14:paraId="22C9D3C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项目于价值时点2025年12月26日同地段、同品质市场租赁住房租金为：</w:t>
      </w:r>
    </w:p>
    <w:p w14:paraId="25AF48EC">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一居室（52.63-69.91平方米）：21.46元/平方米·月</w:t>
      </w:r>
    </w:p>
    <w:p w14:paraId="554320E5">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两居室（72.82-88.38平方米）：17.38元/平方米·月</w:t>
      </w:r>
    </w:p>
    <w:p w14:paraId="48875CF9">
      <w:pPr>
        <w:overflowPunct w:val="0"/>
        <w:spacing w:line="480" w:lineRule="auto"/>
        <w:ind w:firstLine="422" w:firstLineChars="200"/>
        <w:jc w:val="both"/>
        <w:textAlignment w:val="auto"/>
        <w:rPr>
          <w:rFonts w:hint="eastAsia" w:ascii="Arial" w:hAnsi="Arial" w:cs="Arial"/>
          <w:b/>
          <w:bCs/>
          <w:sz w:val="21"/>
          <w:szCs w:val="21"/>
        </w:rPr>
      </w:pPr>
      <w:r>
        <w:rPr>
          <w:rFonts w:hint="eastAsia" w:ascii="Arial" w:hAnsi="Arial" w:cs="Arial"/>
          <w:b/>
          <w:bCs/>
          <w:sz w:val="21"/>
          <w:szCs w:val="21"/>
        </w:rPr>
        <w:t>三居室（90.99-129.32平方米）：16.14元/平方米·月</w:t>
      </w:r>
    </w:p>
    <w:p w14:paraId="3C6F95C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综合租金：18.33元/平方米·月</w:t>
      </w:r>
    </w:p>
    <w:p w14:paraId="676D88B0">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29AD4D9">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w:t>
      </w:r>
      <w:r>
        <w:rPr>
          <w:rFonts w:hint="eastAsia" w:ascii="Arial" w:hAnsi="Arial" w:cs="Arial"/>
          <w:sz w:val="18"/>
          <w:szCs w:val="18"/>
          <w:lang w:val="en-US" w:eastAsia="zh-CN"/>
        </w:rPr>
        <w:t>同时</w:t>
      </w:r>
      <w:r>
        <w:rPr>
          <w:rFonts w:hint="eastAsia" w:ascii="Arial" w:hAnsi="Arial" w:cs="Arial"/>
          <w:sz w:val="18"/>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2D4654D2">
      <w:pPr>
        <w:overflowPunct w:val="0"/>
        <w:spacing w:line="480" w:lineRule="auto"/>
        <w:ind w:left="720" w:leftChars="150" w:hanging="360" w:hangingChars="200"/>
        <w:jc w:val="both"/>
        <w:textAlignment w:val="auto"/>
        <w:rPr>
          <w:rFonts w:ascii="Arial" w:hAnsi="Arial" w:cs="Arial"/>
          <w:sz w:val="18"/>
          <w:szCs w:val="18"/>
        </w:rPr>
        <w:sectPr>
          <w:headerReference r:id="rId24" w:type="first"/>
          <w:headerReference r:id="rId22" w:type="default"/>
          <w:headerReference r:id="rId23" w:type="even"/>
          <w:pgSz w:w="11907" w:h="16840"/>
          <w:pgMar w:top="1843" w:right="1134" w:bottom="1134" w:left="1134" w:header="1134" w:footer="907" w:gutter="340"/>
          <w:cols w:space="720" w:num="1"/>
          <w:docGrid w:linePitch="326" w:charSpace="0"/>
        </w:sectPr>
      </w:pPr>
    </w:p>
    <w:p w14:paraId="1CABE474">
      <w:pPr>
        <w:overflowPunct w:val="0"/>
        <w:spacing w:line="480" w:lineRule="auto"/>
        <w:ind w:left="720" w:leftChars="150" w:hanging="360" w:hangingChars="200"/>
        <w:jc w:val="both"/>
        <w:textAlignment w:val="auto"/>
        <w:rPr>
          <w:rFonts w:ascii="Arial" w:hAnsi="Arial" w:cs="Arial"/>
          <w:sz w:val="18"/>
          <w:szCs w:val="18"/>
        </w:rPr>
      </w:pPr>
    </w:p>
    <w:p w14:paraId="2C103C2B">
      <w:pPr>
        <w:pStyle w:val="2"/>
        <w:spacing w:line="480" w:lineRule="auto"/>
        <w:jc w:val="center"/>
        <w:rPr>
          <w:rFonts w:eastAsia="方正黑体简体"/>
          <w:b w:val="0"/>
          <w:kern w:val="2"/>
          <w:sz w:val="32"/>
          <w:szCs w:val="32"/>
        </w:rPr>
      </w:pPr>
      <w:bookmarkStart w:id="74" w:name="_Toc155267109"/>
      <w:r>
        <w:rPr>
          <w:rFonts w:hint="eastAsia" w:eastAsia="方正黑体简体"/>
          <w:b w:val="0"/>
          <w:kern w:val="2"/>
          <w:sz w:val="32"/>
          <w:szCs w:val="32"/>
        </w:rPr>
        <w:t>附   件</w:t>
      </w:r>
      <w:bookmarkEnd w:id="74"/>
    </w:p>
    <w:p w14:paraId="47804034">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78009344">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405927D7">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6832A77C">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71EDA8F8">
      <w:pPr>
        <w:numPr>
          <w:ilvl w:val="0"/>
          <w:numId w:val="11"/>
        </w:numPr>
        <w:spacing w:line="360" w:lineRule="auto"/>
        <w:jc w:val="both"/>
        <w:rPr>
          <w:rFonts w:ascii="Arial" w:hAnsi="Arial" w:cs="Arial"/>
          <w:sz w:val="21"/>
          <w:szCs w:val="21"/>
        </w:rPr>
      </w:pPr>
      <w:r>
        <w:rPr>
          <w:rFonts w:hint="eastAsia" w:ascii="Arial" w:hAnsi="Arial" w:cs="Arial"/>
          <w:sz w:val="21"/>
          <w:szCs w:val="21"/>
        </w:rPr>
        <w:t>《国有土地使用证》[京兴国用（2010）出第00133、00134、00135号]部分复印件</w:t>
      </w:r>
    </w:p>
    <w:p w14:paraId="26219EC0">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3E00501F">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45CD35F7">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09109156">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432023BD">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《房屋所有权证》[X京房权证兴字第144437、144436、144435、144444、1444440、144439、144442、144443、144449、144445、144447、194022号]复印件</w:t>
      </w:r>
    </w:p>
    <w:p w14:paraId="0C3EDD8B">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《房屋所有权证》[X京房权证兴字第100091、102139、102135、102136、102140、102137、102138、103831、102031、110683、110394、110393、110397、110396、110395、110392、110389号]复印件</w:t>
      </w:r>
    </w:p>
    <w:p w14:paraId="01163CB2">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《房屋所有权证》[X京房权证兴字第103107、103825号]复印件</w:t>
      </w:r>
    </w:p>
    <w:p w14:paraId="52018A5D">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《房屋所有权证》[X京房权证兴字第146943、146944、102030、100093、102028号]复印件</w:t>
      </w:r>
    </w:p>
    <w:p w14:paraId="5B159600">
      <w:pPr>
        <w:numPr>
          <w:ilvl w:val="0"/>
          <w:numId w:val="11"/>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00E4FBD4">
      <w:pPr>
        <w:numPr>
          <w:ilvl w:val="0"/>
          <w:numId w:val="11"/>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3B24F6BF">
      <w:pPr>
        <w:numPr>
          <w:ilvl w:val="0"/>
          <w:numId w:val="11"/>
        </w:numPr>
        <w:spacing w:line="360" w:lineRule="auto"/>
        <w:jc w:val="both"/>
        <w:rPr>
          <w:rFonts w:ascii="Arial" w:hAnsi="Arial" w:cs="Arial"/>
          <w:sz w:val="21"/>
          <w:szCs w:val="21"/>
        </w:rPr>
      </w:pPr>
      <w:r>
        <w:rPr>
          <w:rFonts w:hint="eastAsia" w:ascii="Arial" w:hAnsi="Arial" w:cs="Arial"/>
          <w:sz w:val="21"/>
          <w:szCs w:val="21"/>
        </w:rPr>
        <w:t>《采育数字时尚小镇保障性住房趸组协议》及其附件复印件</w:t>
      </w:r>
    </w:p>
    <w:p w14:paraId="1984C9D5">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413B5F23">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40807647">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E2F1A">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11</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3EBE">
    <w:pPr>
      <w:pStyle w:val="21"/>
      <w:framePr w:wrap="around" w:vAnchor="text" w:hAnchor="margin" w:xAlign="center" w:y="1"/>
      <w:rPr>
        <w:rStyle w:val="37"/>
      </w:rPr>
    </w:pPr>
    <w:r>
      <w:fldChar w:fldCharType="begin"/>
    </w:r>
    <w:r>
      <w:rPr>
        <w:rStyle w:val="37"/>
      </w:rPr>
      <w:instrText xml:space="preserve">PAGE  </w:instrText>
    </w:r>
    <w:r>
      <w:fldChar w:fldCharType="end"/>
    </w:r>
  </w:p>
  <w:p w14:paraId="237ED010">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24D1">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D4084">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3B98E684">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45066">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81</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CEF84">
    <w:pPr>
      <w:pStyle w:val="21"/>
      <w:framePr w:wrap="around" w:vAnchor="text" w:hAnchor="margin" w:xAlign="center" w:y="1"/>
      <w:rPr>
        <w:rStyle w:val="37"/>
      </w:rPr>
    </w:pPr>
    <w:r>
      <w:fldChar w:fldCharType="begin"/>
    </w:r>
    <w:r>
      <w:rPr>
        <w:rStyle w:val="37"/>
      </w:rPr>
      <w:instrText xml:space="preserve">PAGE  </w:instrText>
    </w:r>
    <w:r>
      <w:fldChar w:fldCharType="end"/>
    </w:r>
  </w:p>
  <w:p w14:paraId="0134FD6C">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2E288">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4396">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57FF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48DB2">
    <w:pPr>
      <w:pStyle w:val="22"/>
      <w:pBdr>
        <w:bottom w:val="none" w:color="auto" w:sz="0" w:space="0"/>
      </w:pBdr>
    </w:pPr>
    <w:bookmarkStart w:id="75" w:name="_Hlk154502003"/>
    <w:bookmarkStart w:id="76"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5"/>
    <w:bookmarkEnd w:id="76"/>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43DCF">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C1AF">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E0F79">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BFEFE">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4DD4">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5B2F3">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43F23">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5A9B3">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24E93">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7C8C9">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0C1"/>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4F7845"/>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754"/>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058"/>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5F7AA8"/>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3DD"/>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4F71"/>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3B43"/>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27E8B"/>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21C"/>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148"/>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67F1E"/>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0637"/>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56A"/>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96"/>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3963"/>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BC3"/>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4BAE"/>
    <w:rsid w:val="00FF6085"/>
    <w:rsid w:val="00FF6DC4"/>
    <w:rsid w:val="00FF706B"/>
    <w:rsid w:val="00FF7393"/>
    <w:rsid w:val="00FF7492"/>
    <w:rsid w:val="02225B04"/>
    <w:rsid w:val="0337738D"/>
    <w:rsid w:val="03441F14"/>
    <w:rsid w:val="0376348B"/>
    <w:rsid w:val="04806B11"/>
    <w:rsid w:val="05015EA4"/>
    <w:rsid w:val="071F2612"/>
    <w:rsid w:val="07944DAE"/>
    <w:rsid w:val="08053EFD"/>
    <w:rsid w:val="08F31CBC"/>
    <w:rsid w:val="09370DBB"/>
    <w:rsid w:val="0A2B71BE"/>
    <w:rsid w:val="0B550CF8"/>
    <w:rsid w:val="0BE91440"/>
    <w:rsid w:val="0BEF6A57"/>
    <w:rsid w:val="0C2A7A8F"/>
    <w:rsid w:val="0C957D9E"/>
    <w:rsid w:val="0C9E047D"/>
    <w:rsid w:val="0D587038"/>
    <w:rsid w:val="0DA87805"/>
    <w:rsid w:val="0DD31FB5"/>
    <w:rsid w:val="0F057A1D"/>
    <w:rsid w:val="0F362BEE"/>
    <w:rsid w:val="101B6C76"/>
    <w:rsid w:val="130927B2"/>
    <w:rsid w:val="13EB21F9"/>
    <w:rsid w:val="15160239"/>
    <w:rsid w:val="15C947BC"/>
    <w:rsid w:val="16B30054"/>
    <w:rsid w:val="18393F11"/>
    <w:rsid w:val="18416807"/>
    <w:rsid w:val="18BA03EC"/>
    <w:rsid w:val="19513DE9"/>
    <w:rsid w:val="19555CF5"/>
    <w:rsid w:val="19D43730"/>
    <w:rsid w:val="1A420699"/>
    <w:rsid w:val="1A562397"/>
    <w:rsid w:val="1AA255DC"/>
    <w:rsid w:val="1B446693"/>
    <w:rsid w:val="1BF9747E"/>
    <w:rsid w:val="1C5F6668"/>
    <w:rsid w:val="1D750D86"/>
    <w:rsid w:val="1D9E208B"/>
    <w:rsid w:val="1E5A3F53"/>
    <w:rsid w:val="1E5B44E7"/>
    <w:rsid w:val="1EDF6D30"/>
    <w:rsid w:val="1F6C10DE"/>
    <w:rsid w:val="20EC5803"/>
    <w:rsid w:val="210D0C83"/>
    <w:rsid w:val="238E0DF3"/>
    <w:rsid w:val="23902475"/>
    <w:rsid w:val="248F5924"/>
    <w:rsid w:val="24D942F0"/>
    <w:rsid w:val="25B35AF5"/>
    <w:rsid w:val="26214108"/>
    <w:rsid w:val="26962DDB"/>
    <w:rsid w:val="26BE1474"/>
    <w:rsid w:val="26EA4592"/>
    <w:rsid w:val="26EB3E67"/>
    <w:rsid w:val="26F92A28"/>
    <w:rsid w:val="271E159B"/>
    <w:rsid w:val="279A4F13"/>
    <w:rsid w:val="28083CAF"/>
    <w:rsid w:val="28433F5A"/>
    <w:rsid w:val="28AF5856"/>
    <w:rsid w:val="29B33362"/>
    <w:rsid w:val="2A2B355E"/>
    <w:rsid w:val="2A557F75"/>
    <w:rsid w:val="2BD96984"/>
    <w:rsid w:val="2C1856FE"/>
    <w:rsid w:val="2C956D4E"/>
    <w:rsid w:val="2DAD00C8"/>
    <w:rsid w:val="303B19BB"/>
    <w:rsid w:val="305241D5"/>
    <w:rsid w:val="3150593A"/>
    <w:rsid w:val="315D3273"/>
    <w:rsid w:val="316D3DF6"/>
    <w:rsid w:val="317653A0"/>
    <w:rsid w:val="324266D0"/>
    <w:rsid w:val="32B9008D"/>
    <w:rsid w:val="32E75E2A"/>
    <w:rsid w:val="33F20F2A"/>
    <w:rsid w:val="35BF0856"/>
    <w:rsid w:val="37C4673A"/>
    <w:rsid w:val="392526A5"/>
    <w:rsid w:val="3A370C19"/>
    <w:rsid w:val="3ADE5D64"/>
    <w:rsid w:val="3B4E4C98"/>
    <w:rsid w:val="3BA819F4"/>
    <w:rsid w:val="3D1201AC"/>
    <w:rsid w:val="3D891FB8"/>
    <w:rsid w:val="3EB47508"/>
    <w:rsid w:val="3F19380F"/>
    <w:rsid w:val="3FDF6807"/>
    <w:rsid w:val="40471E5C"/>
    <w:rsid w:val="407F58F4"/>
    <w:rsid w:val="40F2256A"/>
    <w:rsid w:val="42F06635"/>
    <w:rsid w:val="43064E70"/>
    <w:rsid w:val="43EA39CC"/>
    <w:rsid w:val="43EF0FE2"/>
    <w:rsid w:val="43F82FDF"/>
    <w:rsid w:val="43FB7987"/>
    <w:rsid w:val="46C36F5E"/>
    <w:rsid w:val="47D236DF"/>
    <w:rsid w:val="47E04ECA"/>
    <w:rsid w:val="488B752C"/>
    <w:rsid w:val="48CA281A"/>
    <w:rsid w:val="49975A5C"/>
    <w:rsid w:val="4A251E1B"/>
    <w:rsid w:val="4A4245CD"/>
    <w:rsid w:val="4A4F6337"/>
    <w:rsid w:val="4AE01685"/>
    <w:rsid w:val="4BE60F1D"/>
    <w:rsid w:val="4C013661"/>
    <w:rsid w:val="4C8311CB"/>
    <w:rsid w:val="4D6E221F"/>
    <w:rsid w:val="4DA16EA9"/>
    <w:rsid w:val="4DE41F8A"/>
    <w:rsid w:val="4E483BB8"/>
    <w:rsid w:val="4E916F1E"/>
    <w:rsid w:val="4ECF5314"/>
    <w:rsid w:val="4EE01C53"/>
    <w:rsid w:val="4EE31744"/>
    <w:rsid w:val="4F710AFD"/>
    <w:rsid w:val="4F8A5A9D"/>
    <w:rsid w:val="505F14C7"/>
    <w:rsid w:val="50F419E6"/>
    <w:rsid w:val="518252DB"/>
    <w:rsid w:val="51EB2889"/>
    <w:rsid w:val="53D33B35"/>
    <w:rsid w:val="545C7FCE"/>
    <w:rsid w:val="55292E8A"/>
    <w:rsid w:val="55C72CD8"/>
    <w:rsid w:val="569267A7"/>
    <w:rsid w:val="573B1451"/>
    <w:rsid w:val="576F1263"/>
    <w:rsid w:val="578810DA"/>
    <w:rsid w:val="59985FA3"/>
    <w:rsid w:val="59B368E2"/>
    <w:rsid w:val="5A2F0E8B"/>
    <w:rsid w:val="5A70032F"/>
    <w:rsid w:val="5AF251E8"/>
    <w:rsid w:val="5BC44840"/>
    <w:rsid w:val="5C14118E"/>
    <w:rsid w:val="5C311D40"/>
    <w:rsid w:val="5D465377"/>
    <w:rsid w:val="5D6E4482"/>
    <w:rsid w:val="5DCB699B"/>
    <w:rsid w:val="5EF37781"/>
    <w:rsid w:val="5F765739"/>
    <w:rsid w:val="5FD403BA"/>
    <w:rsid w:val="601B2AEB"/>
    <w:rsid w:val="60663E56"/>
    <w:rsid w:val="60F2109D"/>
    <w:rsid w:val="616E49ED"/>
    <w:rsid w:val="62044554"/>
    <w:rsid w:val="625C563D"/>
    <w:rsid w:val="635A354E"/>
    <w:rsid w:val="63A430D3"/>
    <w:rsid w:val="64DE1478"/>
    <w:rsid w:val="65F16A93"/>
    <w:rsid w:val="6697565C"/>
    <w:rsid w:val="66CC0FE3"/>
    <w:rsid w:val="67A4786A"/>
    <w:rsid w:val="67D16185"/>
    <w:rsid w:val="68555E3C"/>
    <w:rsid w:val="687938F3"/>
    <w:rsid w:val="698D5D2B"/>
    <w:rsid w:val="69A27DD9"/>
    <w:rsid w:val="6A0C33B6"/>
    <w:rsid w:val="6ABA2F28"/>
    <w:rsid w:val="6ABC4ECB"/>
    <w:rsid w:val="6AD46799"/>
    <w:rsid w:val="6ADB7A47"/>
    <w:rsid w:val="6AEF52A0"/>
    <w:rsid w:val="6B142F59"/>
    <w:rsid w:val="6B2E730F"/>
    <w:rsid w:val="6B4A24D7"/>
    <w:rsid w:val="6BE62696"/>
    <w:rsid w:val="6C08062F"/>
    <w:rsid w:val="6D0A63C2"/>
    <w:rsid w:val="6DBC76BD"/>
    <w:rsid w:val="6E5378F4"/>
    <w:rsid w:val="707149AA"/>
    <w:rsid w:val="70B56644"/>
    <w:rsid w:val="72037883"/>
    <w:rsid w:val="72542898"/>
    <w:rsid w:val="72DC7A37"/>
    <w:rsid w:val="72DE4054"/>
    <w:rsid w:val="72FC77E5"/>
    <w:rsid w:val="73221F8B"/>
    <w:rsid w:val="74507348"/>
    <w:rsid w:val="748C2BD9"/>
    <w:rsid w:val="74A215D5"/>
    <w:rsid w:val="74C50E20"/>
    <w:rsid w:val="769211D6"/>
    <w:rsid w:val="779E44BF"/>
    <w:rsid w:val="77A52A33"/>
    <w:rsid w:val="788A2AAC"/>
    <w:rsid w:val="79D74B7F"/>
    <w:rsid w:val="7A590988"/>
    <w:rsid w:val="7AFB1A3F"/>
    <w:rsid w:val="7C3945CD"/>
    <w:rsid w:val="7C43369E"/>
    <w:rsid w:val="7CB73744"/>
    <w:rsid w:val="7CD82038"/>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chart" Target="charts/chart1.xml"/><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footer" Target="footer6.xml"/><Relationship Id="rId20" Type="http://schemas.openxmlformats.org/officeDocument/2006/relationships/footer" Target="footer5.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59198080"/>
        <c:axId val="46533580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465337344"/>
        <c:axId val="359170816"/>
      </c:lineChart>
      <c:catAx>
        <c:axId val="359198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65335808"/>
        <c:crosses val="autoZero"/>
        <c:auto val="1"/>
        <c:lblAlgn val="ctr"/>
        <c:lblOffset val="100"/>
        <c:noMultiLvlLbl val="0"/>
      </c:catAx>
      <c:valAx>
        <c:axId val="46533580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59198080"/>
        <c:crosses val="autoZero"/>
        <c:crossBetween val="between"/>
        <c:majorUnit val="500"/>
      </c:valAx>
      <c:catAx>
        <c:axId val="46533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59170816"/>
        <c:crosses val="autoZero"/>
        <c:auto val="1"/>
        <c:lblAlgn val="ctr"/>
        <c:lblOffset val="100"/>
        <c:noMultiLvlLbl val="0"/>
      </c:catAx>
      <c:valAx>
        <c:axId val="35917081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6533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6c35e09-555d-4622-80d0-27110baf2e84}"/>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02B9AC-0746-40FD-9A64-5102FEC09CD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2654</Words>
  <Characters>3289</Characters>
  <Lines>485</Lines>
  <Paragraphs>136</Paragraphs>
  <TotalTime>3</TotalTime>
  <ScaleCrop>false</ScaleCrop>
  <LinksUpToDate>false</LinksUpToDate>
  <CharactersWithSpaces>3339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2026-03-06T03:34:04Z</cp:lastPrinted>
  <dcterms:modified xsi:type="dcterms:W3CDTF">2026-03-06T03:35:36Z</dcterms:modified>
  <dc:title>电 话：82253558  传真：82253565</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A140B1366A3240528ED72729CED0CB1F_13</vt:lpwstr>
  </property>
  <property fmtid="{D5CDD505-2E9C-101B-9397-08002B2CF9AE}" pid="4" name="KSOTemplateDocerSaveRecord">
    <vt:lpwstr>eyJoZGlkIjoiOTcwMTMwZTgwZjBhOWY5ZDIzMzA3YjZmYWI3ZGQ5NjUiLCJ1c2VySWQiOiIyMDkxMDc5NzUifQ==</vt:lpwstr>
  </property>
</Properties>
</file>