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55" w:rsidRDefault="005C0CE8" w:rsidP="00261055">
      <w:pPr>
        <w:spacing w:line="360" w:lineRule="auto"/>
        <w:jc w:val="center"/>
        <w:rPr>
          <w:rFonts w:ascii="华文细黑" w:eastAsia="华文细黑" w:hAnsi="华文细黑" w:hint="eastAsia"/>
          <w:b/>
          <w:sz w:val="28"/>
          <w:szCs w:val="28"/>
        </w:rPr>
      </w:pPr>
      <w:r>
        <w:rPr>
          <w:rFonts w:ascii="华文细黑" w:eastAsia="华文细黑" w:hAnsi="华文细黑" w:hint="eastAsia"/>
          <w:b/>
          <w:sz w:val="28"/>
          <w:szCs w:val="28"/>
        </w:rPr>
        <w:t>连云港</w:t>
      </w:r>
      <w:r w:rsidR="00261055" w:rsidRPr="00261055">
        <w:rPr>
          <w:rFonts w:ascii="华文细黑" w:eastAsia="华文细黑" w:hAnsi="华文细黑" w:hint="eastAsia"/>
          <w:b/>
          <w:sz w:val="28"/>
          <w:szCs w:val="28"/>
        </w:rPr>
        <w:t>项目</w:t>
      </w:r>
    </w:p>
    <w:p w:rsidR="00DB12D1" w:rsidRPr="00DB12D1" w:rsidRDefault="00DB12D1" w:rsidP="00261055">
      <w:pPr>
        <w:spacing w:line="360" w:lineRule="auto"/>
        <w:jc w:val="center"/>
        <w:rPr>
          <w:rFonts w:ascii="华文细黑" w:eastAsia="华文细黑" w:hAnsi="华文细黑" w:hint="eastAsia"/>
          <w:sz w:val="28"/>
          <w:szCs w:val="28"/>
        </w:rPr>
      </w:pPr>
      <w:r w:rsidRPr="00DB12D1">
        <w:rPr>
          <w:rFonts w:ascii="华文细黑" w:eastAsia="华文细黑" w:hAnsi="华文细黑" w:hint="eastAsia"/>
          <w:sz w:val="28"/>
          <w:szCs w:val="28"/>
        </w:rPr>
        <w:t>2020年2月29日与领</w:t>
      </w:r>
      <w:proofErr w:type="gramStart"/>
      <w:r w:rsidRPr="00DB12D1">
        <w:rPr>
          <w:rFonts w:ascii="华文细黑" w:eastAsia="华文细黑" w:hAnsi="华文细黑" w:hint="eastAsia"/>
          <w:sz w:val="28"/>
          <w:szCs w:val="28"/>
        </w:rPr>
        <w:t>勘</w:t>
      </w:r>
      <w:proofErr w:type="gramEnd"/>
      <w:r w:rsidRPr="00DB12D1">
        <w:rPr>
          <w:rFonts w:ascii="华文细黑" w:eastAsia="华文细黑" w:hAnsi="华文细黑" w:hint="eastAsia"/>
          <w:sz w:val="28"/>
          <w:szCs w:val="28"/>
        </w:rPr>
        <w:t>人进行视频现场勘查</w:t>
      </w:r>
      <w:r>
        <w:rPr>
          <w:rFonts w:ascii="华文细黑" w:eastAsia="华文细黑" w:hAnsi="华文细黑" w:hint="eastAsia"/>
          <w:sz w:val="28"/>
          <w:szCs w:val="28"/>
        </w:rPr>
        <w:t>，具体情况如下：</w:t>
      </w:r>
    </w:p>
    <w:p w:rsidR="00DB12D1" w:rsidRPr="00261055" w:rsidRDefault="00DB12D1" w:rsidP="00261055">
      <w:pPr>
        <w:spacing w:line="360" w:lineRule="auto"/>
        <w:jc w:val="center"/>
        <w:rPr>
          <w:rFonts w:ascii="华文细黑" w:eastAsia="华文细黑" w:hAnsi="华文细黑"/>
          <w:b/>
          <w:sz w:val="28"/>
          <w:szCs w:val="28"/>
        </w:rPr>
      </w:pPr>
      <w:r>
        <w:rPr>
          <w:noProof/>
        </w:rPr>
        <w:drawing>
          <wp:inline distT="0" distB="0" distL="0" distR="0" wp14:anchorId="3CC44876" wp14:editId="511376A9">
            <wp:extent cx="3657600" cy="34004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600" cy="3400425"/>
                    </a:xfrm>
                    <a:prstGeom prst="rect">
                      <a:avLst/>
                    </a:prstGeom>
                  </pic:spPr>
                </pic:pic>
              </a:graphicData>
            </a:graphic>
          </wp:inline>
        </w:drawing>
      </w:r>
    </w:p>
    <w:p w:rsidR="00DB12D1" w:rsidRDefault="00DB12D1" w:rsidP="00DB12D1">
      <w:pPr>
        <w:spacing w:line="360" w:lineRule="auto"/>
        <w:ind w:firstLineChars="200" w:firstLine="420"/>
        <w:rPr>
          <w:rFonts w:ascii="华文细黑" w:eastAsia="华文细黑" w:hAnsi="华文细黑" w:hint="eastAsia"/>
          <w:sz w:val="24"/>
          <w:szCs w:val="24"/>
        </w:rPr>
      </w:pPr>
      <w:r>
        <w:rPr>
          <w:noProof/>
        </w:rPr>
        <w:drawing>
          <wp:inline distT="0" distB="0" distL="0" distR="0" wp14:anchorId="6B8DB13A" wp14:editId="46F4F78F">
            <wp:extent cx="5263117" cy="399784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7325" cy="4001038"/>
                    </a:xfrm>
                    <a:prstGeom prst="rect">
                      <a:avLst/>
                    </a:prstGeom>
                  </pic:spPr>
                </pic:pic>
              </a:graphicData>
            </a:graphic>
          </wp:inline>
        </w:drawing>
      </w:r>
    </w:p>
    <w:p w:rsidR="00DB12D1" w:rsidRDefault="00DB12D1" w:rsidP="00DB12D1">
      <w:pPr>
        <w:spacing w:line="360" w:lineRule="auto"/>
        <w:ind w:firstLineChars="200" w:firstLine="420"/>
        <w:rPr>
          <w:rFonts w:ascii="华文细黑" w:eastAsia="华文细黑" w:hAnsi="华文细黑" w:hint="eastAsia"/>
          <w:sz w:val="24"/>
          <w:szCs w:val="24"/>
        </w:rPr>
      </w:pPr>
      <w:r>
        <w:rPr>
          <w:noProof/>
        </w:rPr>
        <w:lastRenderedPageBreak/>
        <w:drawing>
          <wp:inline distT="0" distB="0" distL="0" distR="0" wp14:anchorId="45B6CD9C" wp14:editId="391C6C6E">
            <wp:extent cx="5274310" cy="1023118"/>
            <wp:effectExtent l="0" t="0" r="254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023118"/>
                    </a:xfrm>
                    <a:prstGeom prst="rect">
                      <a:avLst/>
                    </a:prstGeom>
                  </pic:spPr>
                </pic:pic>
              </a:graphicData>
            </a:graphic>
          </wp:inline>
        </w:drawing>
      </w:r>
    </w:p>
    <w:p w:rsidR="00DB12D1" w:rsidRDefault="00261055" w:rsidP="00F42693">
      <w:pPr>
        <w:spacing w:line="360" w:lineRule="auto"/>
        <w:ind w:firstLineChars="200" w:firstLine="480"/>
        <w:rPr>
          <w:rFonts w:ascii="华文细黑" w:eastAsia="华文细黑" w:hAnsi="华文细黑" w:hint="eastAsia"/>
          <w:sz w:val="24"/>
          <w:szCs w:val="24"/>
        </w:rPr>
      </w:pPr>
      <w:r w:rsidRPr="00261055">
        <w:rPr>
          <w:rFonts w:ascii="华文细黑" w:eastAsia="华文细黑" w:hAnsi="华文细黑" w:hint="eastAsia"/>
          <w:sz w:val="24"/>
          <w:szCs w:val="24"/>
        </w:rPr>
        <w:t>市政基础设施情况</w:t>
      </w:r>
      <w:r w:rsidR="00DB12D1">
        <w:rPr>
          <w:rFonts w:ascii="华文细黑" w:eastAsia="华文细黑" w:hAnsi="华文细黑" w:hint="eastAsia"/>
          <w:sz w:val="24"/>
          <w:szCs w:val="24"/>
        </w:rPr>
        <w:t>：红线内三通，地块内平整，正在进行基础工程建设</w:t>
      </w:r>
      <w:r w:rsidRPr="00261055">
        <w:rPr>
          <w:rFonts w:ascii="华文细黑" w:eastAsia="华文细黑" w:hAnsi="华文细黑" w:hint="eastAsia"/>
          <w:sz w:val="24"/>
          <w:szCs w:val="24"/>
        </w:rPr>
        <w:t>，地块内部拟建内容</w:t>
      </w:r>
      <w:r w:rsidR="00DB12D1">
        <w:rPr>
          <w:rFonts w:ascii="华文细黑" w:eastAsia="华文细黑" w:hAnsi="华文细黑" w:hint="eastAsia"/>
          <w:sz w:val="24"/>
          <w:szCs w:val="24"/>
        </w:rPr>
        <w:t>洋房、高层、康体设施建设。</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（3）区域公共服务设施</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估价对象位于江苏省连云港市连云区连云新城，地理位置一般。所在区域内分布有学校（海滨中学、</w:t>
      </w:r>
      <w:proofErr w:type="gramStart"/>
      <w:r w:rsidRPr="0024682E">
        <w:rPr>
          <w:rFonts w:ascii="华文细黑" w:eastAsia="华文细黑" w:hAnsi="华文细黑" w:hint="eastAsia"/>
          <w:sz w:val="24"/>
          <w:szCs w:val="24"/>
        </w:rPr>
        <w:t>圣奥本</w:t>
      </w:r>
      <w:proofErr w:type="gramEnd"/>
      <w:r w:rsidRPr="0024682E">
        <w:rPr>
          <w:rFonts w:ascii="华文细黑" w:eastAsia="华文细黑" w:hAnsi="华文细黑" w:hint="eastAsia"/>
          <w:sz w:val="24"/>
          <w:szCs w:val="24"/>
        </w:rPr>
        <w:t>国际双语学校）、医院（江苏省海滨康复医院）、餐饮等配套设施，配套设施完善程度较差，综合考虑估价对象所在区域公共服务设施齐备度较差。</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2.交通条件</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估价对象周边道路状况一般，周边有B20路、38路、游10路等公交线路经过，路网密集度一般，但估价对象及周边均处于开发建设前期，综合考虑估价对象交通便捷度较差。</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3.环境条件</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估价对象所属项目周边有黄海、新城河、连云港新城商务公园、海鸥广场等，公共绿化设施多，自然环境较优，周边无高等院校，人文设施环境较差，综合分析，环境状况一般。</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4.基础</w:t>
      </w:r>
      <w:proofErr w:type="gramStart"/>
      <w:r w:rsidRPr="0024682E">
        <w:rPr>
          <w:rFonts w:ascii="华文细黑" w:eastAsia="华文细黑" w:hAnsi="华文细黑" w:hint="eastAsia"/>
          <w:sz w:val="24"/>
          <w:szCs w:val="24"/>
        </w:rPr>
        <w:t>设施设施</w:t>
      </w:r>
      <w:proofErr w:type="gramEnd"/>
      <w:r w:rsidRPr="0024682E">
        <w:rPr>
          <w:rFonts w:ascii="华文细黑" w:eastAsia="华文细黑" w:hAnsi="华文细黑" w:hint="eastAsia"/>
          <w:sz w:val="24"/>
          <w:szCs w:val="24"/>
        </w:rPr>
        <w:t>条件</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江苏省连云港市连云区连云新城目前已拥有完善的基础设施配套保障，区内大部分区域基础设施配套目前可达到“六通”（即通路、通电、通讯、通上水、通下水、通燃气）条件。</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lastRenderedPageBreak/>
        <w:t>5.居住社区成熟度</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项目周边居住用地比例一般、居住小区规模和社区发展完善程度一般。3公里内有海上五月花、海州湾花园、永泰•山海自在等多个项目，估价对象所属项目为大型综合项目，占地范围较大，整个区域尚处于开发建设初期，由于区域开发成熟度较低，综合评价居住社区成熟度差。</w:t>
      </w:r>
    </w:p>
    <w:p w:rsidR="0024682E" w:rsidRPr="0024682E" w:rsidRDefault="0024682E" w:rsidP="0024682E">
      <w:pPr>
        <w:spacing w:line="360" w:lineRule="auto"/>
        <w:rPr>
          <w:rFonts w:ascii="华文细黑" w:eastAsia="华文细黑" w:hAnsi="华文细黑" w:hint="eastAsia"/>
          <w:sz w:val="24"/>
          <w:szCs w:val="24"/>
        </w:rPr>
      </w:pPr>
      <w:r w:rsidRPr="0024682E">
        <w:rPr>
          <w:rFonts w:ascii="华文细黑" w:eastAsia="华文细黑" w:hAnsi="华文细黑" w:hint="eastAsia"/>
          <w:sz w:val="24"/>
          <w:szCs w:val="24"/>
        </w:rPr>
        <w:t>6.商服繁华程度</w:t>
      </w:r>
    </w:p>
    <w:p w:rsidR="004A5762" w:rsidRDefault="0024682E" w:rsidP="0024682E">
      <w:pPr>
        <w:spacing w:line="360" w:lineRule="auto"/>
        <w:rPr>
          <w:rFonts w:ascii="华文细黑" w:eastAsia="华文细黑" w:hAnsi="华文细黑"/>
          <w:sz w:val="24"/>
          <w:szCs w:val="24"/>
        </w:rPr>
      </w:pPr>
      <w:r w:rsidRPr="0024682E">
        <w:rPr>
          <w:rFonts w:ascii="华文细黑" w:eastAsia="华文细黑" w:hAnsi="华文细黑" w:hint="eastAsia"/>
          <w:sz w:val="24"/>
          <w:szCs w:val="24"/>
        </w:rPr>
        <w:t>估价对象所属项目为大型综合项目，占地范围较大，整个区域尚处于开发建设初期，由于区域开发成熟度较低，商业氛围差，人流量差，商服繁华程度差。</w:t>
      </w:r>
      <w:bookmarkStart w:id="0" w:name="_GoBack"/>
      <w:bookmarkEnd w:id="0"/>
    </w:p>
    <w:p w:rsidR="004A5762" w:rsidRDefault="004A5762" w:rsidP="00261055">
      <w:pPr>
        <w:spacing w:line="360" w:lineRule="auto"/>
        <w:rPr>
          <w:rFonts w:ascii="华文细黑" w:eastAsia="华文细黑" w:hAnsi="华文细黑"/>
          <w:sz w:val="24"/>
          <w:szCs w:val="24"/>
        </w:rPr>
      </w:pPr>
    </w:p>
    <w:sectPr w:rsidR="004A5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18" w:rsidRDefault="009C5518" w:rsidP="00261055">
      <w:r>
        <w:separator/>
      </w:r>
    </w:p>
  </w:endnote>
  <w:endnote w:type="continuationSeparator" w:id="0">
    <w:p w:rsidR="009C5518" w:rsidRDefault="009C5518" w:rsidP="0026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18" w:rsidRDefault="009C5518" w:rsidP="00261055">
      <w:r>
        <w:separator/>
      </w:r>
    </w:p>
  </w:footnote>
  <w:footnote w:type="continuationSeparator" w:id="0">
    <w:p w:rsidR="009C5518" w:rsidRDefault="009C5518" w:rsidP="00261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D1"/>
    <w:rsid w:val="000221E7"/>
    <w:rsid w:val="000F7056"/>
    <w:rsid w:val="0024682E"/>
    <w:rsid w:val="00261055"/>
    <w:rsid w:val="00356821"/>
    <w:rsid w:val="003E2F2F"/>
    <w:rsid w:val="004A5762"/>
    <w:rsid w:val="005245D1"/>
    <w:rsid w:val="005C0CE8"/>
    <w:rsid w:val="00744849"/>
    <w:rsid w:val="008147EF"/>
    <w:rsid w:val="009C5518"/>
    <w:rsid w:val="00AA6141"/>
    <w:rsid w:val="00D361BE"/>
    <w:rsid w:val="00DB12D1"/>
    <w:rsid w:val="00E412A9"/>
    <w:rsid w:val="00E60C77"/>
    <w:rsid w:val="00F4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055"/>
    <w:rPr>
      <w:sz w:val="18"/>
      <w:szCs w:val="18"/>
    </w:rPr>
  </w:style>
  <w:style w:type="paragraph" w:styleId="a4">
    <w:name w:val="footer"/>
    <w:basedOn w:val="a"/>
    <w:link w:val="Char0"/>
    <w:uiPriority w:val="99"/>
    <w:unhideWhenUsed/>
    <w:rsid w:val="00261055"/>
    <w:pPr>
      <w:tabs>
        <w:tab w:val="center" w:pos="4153"/>
        <w:tab w:val="right" w:pos="8306"/>
      </w:tabs>
      <w:snapToGrid w:val="0"/>
      <w:jc w:val="left"/>
    </w:pPr>
    <w:rPr>
      <w:sz w:val="18"/>
      <w:szCs w:val="18"/>
    </w:rPr>
  </w:style>
  <w:style w:type="character" w:customStyle="1" w:styleId="Char0">
    <w:name w:val="页脚 Char"/>
    <w:basedOn w:val="a0"/>
    <w:link w:val="a4"/>
    <w:uiPriority w:val="99"/>
    <w:rsid w:val="00261055"/>
    <w:rPr>
      <w:sz w:val="18"/>
      <w:szCs w:val="18"/>
    </w:rPr>
  </w:style>
  <w:style w:type="table" w:styleId="a5">
    <w:name w:val="Table Grid"/>
    <w:basedOn w:val="a1"/>
    <w:uiPriority w:val="59"/>
    <w:rsid w:val="004A5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A5762"/>
    <w:rPr>
      <w:sz w:val="18"/>
      <w:szCs w:val="18"/>
    </w:rPr>
  </w:style>
  <w:style w:type="character" w:customStyle="1" w:styleId="Char1">
    <w:name w:val="批注框文本 Char"/>
    <w:basedOn w:val="a0"/>
    <w:link w:val="a6"/>
    <w:uiPriority w:val="99"/>
    <w:semiHidden/>
    <w:rsid w:val="004A57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055"/>
    <w:rPr>
      <w:sz w:val="18"/>
      <w:szCs w:val="18"/>
    </w:rPr>
  </w:style>
  <w:style w:type="paragraph" w:styleId="a4">
    <w:name w:val="footer"/>
    <w:basedOn w:val="a"/>
    <w:link w:val="Char0"/>
    <w:uiPriority w:val="99"/>
    <w:unhideWhenUsed/>
    <w:rsid w:val="00261055"/>
    <w:pPr>
      <w:tabs>
        <w:tab w:val="center" w:pos="4153"/>
        <w:tab w:val="right" w:pos="8306"/>
      </w:tabs>
      <w:snapToGrid w:val="0"/>
      <w:jc w:val="left"/>
    </w:pPr>
    <w:rPr>
      <w:sz w:val="18"/>
      <w:szCs w:val="18"/>
    </w:rPr>
  </w:style>
  <w:style w:type="character" w:customStyle="1" w:styleId="Char0">
    <w:name w:val="页脚 Char"/>
    <w:basedOn w:val="a0"/>
    <w:link w:val="a4"/>
    <w:uiPriority w:val="99"/>
    <w:rsid w:val="00261055"/>
    <w:rPr>
      <w:sz w:val="18"/>
      <w:szCs w:val="18"/>
    </w:rPr>
  </w:style>
  <w:style w:type="table" w:styleId="a5">
    <w:name w:val="Table Grid"/>
    <w:basedOn w:val="a1"/>
    <w:uiPriority w:val="59"/>
    <w:rsid w:val="004A5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A5762"/>
    <w:rPr>
      <w:sz w:val="18"/>
      <w:szCs w:val="18"/>
    </w:rPr>
  </w:style>
  <w:style w:type="character" w:customStyle="1" w:styleId="Char1">
    <w:name w:val="批注框文本 Char"/>
    <w:basedOn w:val="a0"/>
    <w:link w:val="a6"/>
    <w:uiPriority w:val="99"/>
    <w:semiHidden/>
    <w:rsid w:val="004A57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104</Words>
  <Characters>595</Characters>
  <Application>Microsoft Office Word</Application>
  <DocSecurity>0</DocSecurity>
  <Lines>4</Lines>
  <Paragraphs>1</Paragraphs>
  <ScaleCrop>false</ScaleCrop>
  <Company>user</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2020-02-25T10:03:00Z</dcterms:created>
  <dcterms:modified xsi:type="dcterms:W3CDTF">2020-03-01T09:40:00Z</dcterms:modified>
</cp:coreProperties>
</file>